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DC" w:rsidRDefault="00E833DC" w:rsidP="007D3EC9">
      <w:pPr>
        <w:pStyle w:val="pF"/>
        <w:pBdr>
          <w:bottom w:val="single" w:sz="12" w:space="26" w:color="auto"/>
        </w:pBdr>
        <w:spacing w:before="240" w:after="520"/>
        <w:ind w:left="432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Table of Contents</w:t>
      </w:r>
    </w:p>
    <w:p w:rsidR="006432C1" w:rsidRDefault="00580B73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580B73">
        <w:fldChar w:fldCharType="begin"/>
      </w:r>
      <w:r w:rsidR="00D05C3B">
        <w:instrText xml:space="preserve"> TOC \o "1-3" </w:instrText>
      </w:r>
      <w:r w:rsidRPr="00580B73">
        <w:fldChar w:fldCharType="separate"/>
      </w:r>
      <w:r w:rsidR="006432C1" w:rsidRPr="00417326">
        <w:rPr>
          <w:i/>
          <w:noProof/>
        </w:rPr>
        <w:t>ES</w:t>
      </w:r>
      <w:r w:rsidR="006432C1">
        <w:rPr>
          <w:noProof/>
        </w:rPr>
        <w:t xml:space="preserve">  Executive Summary</w:t>
      </w:r>
      <w:r w:rsidR="006432C1">
        <w:rPr>
          <w:noProof/>
        </w:rPr>
        <w:tab/>
      </w:r>
      <w:r w:rsidR="005115C3">
        <w:rPr>
          <w:noProof/>
        </w:rPr>
        <w:t>ES-</w:t>
      </w:r>
      <w:r w:rsidR="006432C1">
        <w:rPr>
          <w:noProof/>
        </w:rPr>
        <w:t>1</w:t>
      </w:r>
    </w:p>
    <w:p w:rsidR="006432C1" w:rsidRDefault="006432C1">
      <w:pPr>
        <w:pStyle w:val="TOC2"/>
        <w:tabs>
          <w:tab w:val="left" w:pos="12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ES.1</w:t>
      </w:r>
      <w:r w:rsidR="00C80A93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</w:t>
      </w:r>
      <w:r>
        <w:rPr>
          <w:noProof/>
        </w:rPr>
        <w:t>Gross Load Impact Updates</w:t>
      </w:r>
      <w:r>
        <w:rPr>
          <w:noProof/>
        </w:rPr>
        <w:tab/>
      </w:r>
      <w:r w:rsidR="005115C3">
        <w:rPr>
          <w:noProof/>
        </w:rPr>
        <w:t>ES-</w:t>
      </w:r>
      <w:r>
        <w:rPr>
          <w:noProof/>
        </w:rPr>
        <w:t>1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ES.1.1  Residential Lighting Impacts</w:t>
      </w:r>
      <w:r>
        <w:rPr>
          <w:noProof/>
        </w:rPr>
        <w:tab/>
      </w:r>
      <w:r w:rsidR="005115C3">
        <w:rPr>
          <w:noProof/>
        </w:rPr>
        <w:t>ES-</w:t>
      </w:r>
      <w:r>
        <w:rPr>
          <w:noProof/>
        </w:rPr>
        <w:t>1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ES.1.2  Non-Residential Lighting Impacts</w:t>
      </w:r>
      <w:r>
        <w:rPr>
          <w:noProof/>
        </w:rPr>
        <w:tab/>
      </w:r>
      <w:r w:rsidR="005115C3">
        <w:rPr>
          <w:noProof/>
        </w:rPr>
        <w:t>ES-</w:t>
      </w:r>
      <w:r>
        <w:rPr>
          <w:noProof/>
        </w:rPr>
        <w:t>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ES.1.3  Residential Water Heating System Impacts</w:t>
      </w:r>
      <w:r>
        <w:rPr>
          <w:noProof/>
        </w:rPr>
        <w:tab/>
      </w:r>
      <w:r w:rsidR="005115C3">
        <w:rPr>
          <w:noProof/>
        </w:rPr>
        <w:t>ES-</w:t>
      </w:r>
      <w:r>
        <w:rPr>
          <w:noProof/>
        </w:rPr>
        <w:t>3</w:t>
      </w:r>
    </w:p>
    <w:p w:rsidR="006432C1" w:rsidRDefault="006432C1">
      <w:pPr>
        <w:pStyle w:val="TOC2"/>
        <w:tabs>
          <w:tab w:val="left" w:pos="12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ES.2</w:t>
      </w:r>
      <w:r w:rsidR="00C80A93">
        <w:rPr>
          <w:rFonts w:asciiTheme="minorHAnsi" w:eastAsiaTheme="minorEastAsia" w:hAnsiTheme="minorHAnsi" w:cstheme="minorBidi"/>
          <w:noProof/>
          <w:sz w:val="22"/>
          <w:szCs w:val="22"/>
        </w:rPr>
        <w:t xml:space="preserve">  </w:t>
      </w:r>
      <w:r>
        <w:rPr>
          <w:noProof/>
        </w:rPr>
        <w:t>Net to Gross Ratio Update</w:t>
      </w:r>
      <w:r>
        <w:rPr>
          <w:noProof/>
        </w:rPr>
        <w:tab/>
      </w:r>
      <w:r w:rsidR="005115C3">
        <w:rPr>
          <w:noProof/>
        </w:rPr>
        <w:t>ES-</w:t>
      </w:r>
      <w:r>
        <w:rPr>
          <w:noProof/>
        </w:rPr>
        <w:t>4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rFonts w:cs="Times New Roman"/>
          <w:i/>
          <w:noProof/>
        </w:rPr>
        <w:t>1</w:t>
      </w:r>
      <w:r>
        <w:rPr>
          <w:noProof/>
        </w:rPr>
        <w:t xml:space="preserve"> Introduction - DEER 2011 Update Analysis</w:t>
      </w:r>
      <w:r>
        <w:rPr>
          <w:noProof/>
        </w:rPr>
        <w:tab/>
        <w:t>1-1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1.1</w:t>
      </w:r>
      <w:r>
        <w:rPr>
          <w:noProof/>
        </w:rPr>
        <w:t xml:space="preserve"> Introduction</w:t>
      </w:r>
      <w:r>
        <w:rPr>
          <w:noProof/>
        </w:rPr>
        <w:tab/>
        <w:t>1-1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rFonts w:cs="Times New Roman"/>
          <w:i/>
          <w:noProof/>
        </w:rPr>
        <w:t>2</w:t>
      </w:r>
      <w:r>
        <w:rPr>
          <w:noProof/>
        </w:rPr>
        <w:t xml:space="preserve"> Ranked List of Energy Efficiency Measures by Technology Group</w:t>
      </w:r>
      <w:r>
        <w:rPr>
          <w:noProof/>
        </w:rPr>
        <w:tab/>
        <w:t>2-1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3</w:t>
      </w:r>
      <w:r>
        <w:rPr>
          <w:noProof/>
        </w:rPr>
        <w:t xml:space="preserve"> Residential Lighting Impact Input Updates for DEER</w:t>
      </w:r>
      <w:r>
        <w:rPr>
          <w:noProof/>
        </w:rPr>
        <w:tab/>
        <w:t>3-1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 Introduction</w:t>
      </w:r>
      <w:r>
        <w:rPr>
          <w:noProof/>
        </w:rPr>
        <w:tab/>
        <w:t>3-1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 Wattage Reduction Ratio Estimates</w:t>
      </w:r>
      <w:r>
        <w:rPr>
          <w:noProof/>
        </w:rPr>
        <w:tab/>
        <w:t>3-1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 Hours-of-Use Profile Estimates</w:t>
      </w:r>
      <w:r>
        <w:rPr>
          <w:noProof/>
        </w:rPr>
        <w:tab/>
        <w:t>3-3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3.3.1 Installation Analysis and Saturation Increment</w:t>
      </w:r>
      <w:r>
        <w:rPr>
          <w:noProof/>
        </w:rPr>
        <w:tab/>
        <w:t>3-3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3.4 Projections of Lighting Profiles</w:t>
      </w:r>
      <w:r>
        <w:rPr>
          <w:noProof/>
        </w:rPr>
        <w:tab/>
        <w:t>3-6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3.4.1 Cross-Sectional Model and Projected Lighting Profiles</w:t>
      </w:r>
      <w:r>
        <w:rPr>
          <w:noProof/>
        </w:rPr>
        <w:tab/>
        <w:t>3-7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3.5 Possible Shortcomings of the Study</w:t>
      </w:r>
      <w:r>
        <w:rPr>
          <w:noProof/>
        </w:rPr>
        <w:tab/>
        <w:t>3-11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3.6 Comparison to Previous DEER Results</w:t>
      </w:r>
      <w:r>
        <w:rPr>
          <w:noProof/>
        </w:rPr>
        <w:tab/>
        <w:t>3-12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3.7 Conclusion</w:t>
      </w:r>
      <w:r>
        <w:rPr>
          <w:noProof/>
        </w:rPr>
        <w:tab/>
        <w:t>3-13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3.8 References</w:t>
      </w:r>
      <w:r>
        <w:rPr>
          <w:noProof/>
        </w:rPr>
        <w:tab/>
        <w:t>3-13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rFonts w:cs="Times New Roman"/>
          <w:i/>
          <w:noProof/>
        </w:rPr>
        <w:t>4</w:t>
      </w:r>
      <w:r>
        <w:rPr>
          <w:noProof/>
        </w:rPr>
        <w:t xml:space="preserve"> Load Impact Updates for Non-Residential Lighting</w:t>
      </w:r>
      <w:r>
        <w:rPr>
          <w:noProof/>
        </w:rPr>
        <w:tab/>
        <w:t>4-1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4.1</w:t>
      </w:r>
      <w:r>
        <w:rPr>
          <w:noProof/>
        </w:rPr>
        <w:t xml:space="preserve"> Introduction</w:t>
      </w:r>
      <w:r>
        <w:rPr>
          <w:noProof/>
        </w:rPr>
        <w:tab/>
        <w:t>4-1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4.1.1</w:t>
      </w:r>
      <w:r>
        <w:rPr>
          <w:noProof/>
        </w:rPr>
        <w:t xml:space="preserve"> Overview of this Section</w:t>
      </w:r>
      <w:r>
        <w:rPr>
          <w:noProof/>
        </w:rPr>
        <w:tab/>
        <w:t>4-1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4.2</w:t>
      </w:r>
      <w:r>
        <w:rPr>
          <w:noProof/>
        </w:rPr>
        <w:t xml:space="preserve"> Background/Overview of the DEER TG1 Analysis Plan</w:t>
      </w:r>
      <w:r>
        <w:rPr>
          <w:noProof/>
        </w:rPr>
        <w:tab/>
        <w:t>4-2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4.2.1</w:t>
      </w:r>
      <w:r>
        <w:rPr>
          <w:noProof/>
        </w:rPr>
        <w:t xml:space="preserve"> Parameter Updates</w:t>
      </w:r>
      <w:r>
        <w:rPr>
          <w:noProof/>
        </w:rPr>
        <w:tab/>
        <w:t>4-3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4.2.2</w:t>
      </w:r>
      <w:r>
        <w:rPr>
          <w:noProof/>
        </w:rPr>
        <w:t xml:space="preserve"> Interactive Effects Updates</w:t>
      </w:r>
      <w:r>
        <w:rPr>
          <w:noProof/>
        </w:rPr>
        <w:tab/>
        <w:t>4-3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4.3</w:t>
      </w:r>
      <w:r>
        <w:rPr>
          <w:noProof/>
        </w:rPr>
        <w:t xml:space="preserve"> Data Sources</w:t>
      </w:r>
      <w:r>
        <w:rPr>
          <w:noProof/>
        </w:rPr>
        <w:tab/>
        <w:t>4-3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4.3.1</w:t>
      </w:r>
      <w:r>
        <w:rPr>
          <w:noProof/>
        </w:rPr>
        <w:t xml:space="preserve"> Data Sources – 2008 DEER</w:t>
      </w:r>
      <w:r>
        <w:rPr>
          <w:noProof/>
        </w:rPr>
        <w:tab/>
        <w:t>4-3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4.3.2</w:t>
      </w:r>
      <w:r>
        <w:rPr>
          <w:noProof/>
        </w:rPr>
        <w:t xml:space="preserve"> Data Sources – Proposed 2011 DEER Update</w:t>
      </w:r>
      <w:r>
        <w:rPr>
          <w:noProof/>
        </w:rPr>
        <w:tab/>
        <w:t>4-5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4.3.3</w:t>
      </w:r>
      <w:r>
        <w:rPr>
          <w:noProof/>
        </w:rPr>
        <w:t xml:space="preserve"> Data Sources – Comparison of Sample Sizes</w:t>
      </w:r>
      <w:r>
        <w:rPr>
          <w:noProof/>
        </w:rPr>
        <w:tab/>
        <w:t>4-5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4.4</w:t>
      </w:r>
      <w:r>
        <w:rPr>
          <w:noProof/>
        </w:rPr>
        <w:t xml:space="preserve"> Hours of Use, Annual Usage Shapes and Coincident Factors</w:t>
      </w:r>
      <w:r>
        <w:rPr>
          <w:noProof/>
        </w:rPr>
        <w:tab/>
        <w:t>4-7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4.4.1</w:t>
      </w:r>
      <w:r>
        <w:rPr>
          <w:noProof/>
        </w:rPr>
        <w:t xml:space="preserve"> 2008 DEER HOUs and CFs</w:t>
      </w:r>
      <w:r>
        <w:rPr>
          <w:noProof/>
        </w:rPr>
        <w:tab/>
        <w:t>4-7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4.4.2</w:t>
      </w:r>
      <w:r>
        <w:rPr>
          <w:noProof/>
        </w:rPr>
        <w:t xml:space="preserve"> 2011 DEER HOUs and CFs</w:t>
      </w:r>
      <w:r>
        <w:rPr>
          <w:noProof/>
        </w:rPr>
        <w:tab/>
        <w:t>4-13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4.5</w:t>
      </w:r>
      <w:r>
        <w:rPr>
          <w:noProof/>
        </w:rPr>
        <w:t xml:space="preserve"> Delta Watts Calculations</w:t>
      </w:r>
      <w:r>
        <w:rPr>
          <w:noProof/>
        </w:rPr>
        <w:tab/>
        <w:t>4-17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4.5.1</w:t>
      </w:r>
      <w:r>
        <w:rPr>
          <w:noProof/>
        </w:rPr>
        <w:t xml:space="preserve"> Delta Watts – CFLs</w:t>
      </w:r>
      <w:r>
        <w:rPr>
          <w:noProof/>
        </w:rPr>
        <w:tab/>
        <w:t>4-17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4.5.2</w:t>
      </w:r>
      <w:r>
        <w:rPr>
          <w:noProof/>
        </w:rPr>
        <w:t xml:space="preserve"> Delta Watts – Linear Fluorescents</w:t>
      </w:r>
      <w:r>
        <w:rPr>
          <w:noProof/>
        </w:rPr>
        <w:tab/>
        <w:t>4-19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4.6</w:t>
      </w:r>
      <w:r>
        <w:rPr>
          <w:noProof/>
        </w:rPr>
        <w:t xml:space="preserve"> Non Residential Lighting – Interactive Effects</w:t>
      </w:r>
      <w:r>
        <w:rPr>
          <w:noProof/>
        </w:rPr>
        <w:tab/>
        <w:t>4-21</w:t>
      </w:r>
      <w:r w:rsidR="00183E06">
        <w:rPr>
          <w:noProof/>
        </w:rPr>
        <w:br/>
      </w:r>
      <w:r w:rsidR="00183E06">
        <w:rPr>
          <w:noProof/>
        </w:rPr>
        <w:br/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lastRenderedPageBreak/>
        <w:t>5</w:t>
      </w:r>
      <w:r>
        <w:rPr>
          <w:noProof/>
        </w:rPr>
        <w:t xml:space="preserve"> Impact Updates for Residential Hot Water Heating</w:t>
      </w:r>
      <w:r>
        <w:rPr>
          <w:noProof/>
        </w:rPr>
        <w:tab/>
        <w:t>5-1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5.1 Introduction</w:t>
      </w:r>
      <w:r>
        <w:rPr>
          <w:noProof/>
        </w:rPr>
        <w:tab/>
        <w:t>5-1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5.2 Residential Faucet Aerators and Showerheads</w:t>
      </w:r>
      <w:r>
        <w:rPr>
          <w:noProof/>
        </w:rPr>
        <w:tab/>
        <w:t>5-1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5.3 Residential Instantaneous and Storage Water Heater Measures</w:t>
      </w:r>
      <w:r>
        <w:rPr>
          <w:noProof/>
        </w:rPr>
        <w:tab/>
        <w:t>5-5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5.4 Recommendations for the Short-Term Update</w:t>
      </w:r>
      <w:r>
        <w:rPr>
          <w:noProof/>
        </w:rPr>
        <w:tab/>
        <w:t>5-7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6</w:t>
      </w:r>
      <w:r>
        <w:rPr>
          <w:noProof/>
        </w:rPr>
        <w:t xml:space="preserve"> Overall Summary of NTGR Analysis</w:t>
      </w:r>
      <w:r>
        <w:rPr>
          <w:noProof/>
        </w:rPr>
        <w:tab/>
        <w:t>6-1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rFonts w:cs="Times New Roman"/>
          <w:i/>
          <w:noProof/>
        </w:rPr>
        <w:t>7</w:t>
      </w:r>
      <w:r>
        <w:rPr>
          <w:noProof/>
        </w:rPr>
        <w:t xml:space="preserve"> Recommended Updates to Net-to-Gross Ratios for Non-Residential Lighting Measures</w:t>
      </w:r>
      <w:r>
        <w:rPr>
          <w:noProof/>
        </w:rPr>
        <w:tab/>
        <w:t>7-1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7.1</w:t>
      </w:r>
      <w:r>
        <w:rPr>
          <w:noProof/>
        </w:rPr>
        <w:t xml:space="preserve"> Introduction</w:t>
      </w:r>
      <w:r>
        <w:rPr>
          <w:noProof/>
        </w:rPr>
        <w:tab/>
        <w:t>7-1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7.2</w:t>
      </w:r>
      <w:r>
        <w:rPr>
          <w:noProof/>
        </w:rPr>
        <w:t xml:space="preserve"> Comparison of Current DEER NTGR to Results from Latest EM&amp;V Analyses in 2006-2008</w:t>
      </w:r>
      <w:r>
        <w:rPr>
          <w:noProof/>
        </w:rPr>
        <w:tab/>
        <w:t>7-2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7.3</w:t>
      </w:r>
      <w:r>
        <w:rPr>
          <w:noProof/>
        </w:rPr>
        <w:t xml:space="preserve"> Comparison of Methods and Sample Sizes Used to Derive NTGR Results</w:t>
      </w:r>
      <w:r>
        <w:rPr>
          <w:noProof/>
        </w:rPr>
        <w:tab/>
        <w:t>7-3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7.4</w:t>
      </w:r>
      <w:r>
        <w:rPr>
          <w:noProof/>
        </w:rPr>
        <w:t xml:space="preserve"> Recommended NTGR by Measure and Applicable Market Segments or Building Types</w:t>
      </w:r>
      <w:r>
        <w:rPr>
          <w:noProof/>
        </w:rPr>
        <w:tab/>
        <w:t>7-4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7.5</w:t>
      </w:r>
      <w:r>
        <w:rPr>
          <w:noProof/>
        </w:rPr>
        <w:t xml:space="preserve"> Factors Likely to Lead to Changes in NTGR Over Next Three Years</w:t>
      </w:r>
      <w:r>
        <w:rPr>
          <w:noProof/>
        </w:rPr>
        <w:tab/>
        <w:t>7-5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7.6</w:t>
      </w:r>
      <w:r>
        <w:rPr>
          <w:noProof/>
        </w:rPr>
        <w:t xml:space="preserve"> Assessment of Current Data and Tools Available for Adjusting NTGR Over Time</w:t>
      </w:r>
      <w:r>
        <w:rPr>
          <w:noProof/>
        </w:rPr>
        <w:tab/>
        <w:t>7-5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7.7</w:t>
      </w:r>
      <w:r>
        <w:rPr>
          <w:noProof/>
        </w:rPr>
        <w:t xml:space="preserve"> Recommended NTGRs by Building Type to Assist Predicting NTGs for Future Programs</w:t>
      </w:r>
      <w:r>
        <w:rPr>
          <w:noProof/>
        </w:rPr>
        <w:tab/>
        <w:t>7-6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8</w:t>
      </w:r>
      <w:r>
        <w:rPr>
          <w:noProof/>
        </w:rPr>
        <w:t xml:space="preserve"> Recommended Updates to Net-to-Gross Ratios for Residential Lighting (CFLs)</w:t>
      </w:r>
      <w:r>
        <w:rPr>
          <w:noProof/>
        </w:rPr>
        <w:tab/>
        <w:t>8-1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 NTGR Results from 2006-2008 Impact Evaluation</w:t>
      </w:r>
      <w:r>
        <w:rPr>
          <w:noProof/>
        </w:rPr>
        <w:tab/>
        <w:t>8-2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 Comparison of 2006-2008 Evaluation Results to DEER Values</w:t>
      </w:r>
      <w:r>
        <w:rPr>
          <w:noProof/>
        </w:rPr>
        <w:tab/>
        <w:t>8-4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8.3 Changes to Upstream Lighting Programs Over Time</w:t>
      </w:r>
      <w:r>
        <w:rPr>
          <w:noProof/>
        </w:rPr>
        <w:tab/>
        <w:t>8-5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8.3.1 Changes to Channel Distribution</w:t>
      </w:r>
      <w:r>
        <w:rPr>
          <w:noProof/>
        </w:rPr>
        <w:tab/>
        <w:t>8-5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8.3.2 Changes to Product Type Distribution</w:t>
      </w:r>
      <w:r>
        <w:rPr>
          <w:noProof/>
        </w:rPr>
        <w:tab/>
        <w:t>8-6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8.4 Recommended NTGR Estimates</w:t>
      </w:r>
      <w:r>
        <w:rPr>
          <w:noProof/>
        </w:rPr>
        <w:tab/>
        <w:t>8-7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8.4.1 Basic CFLs</w:t>
      </w:r>
      <w:r>
        <w:rPr>
          <w:noProof/>
        </w:rPr>
        <w:tab/>
        <w:t>8-7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8.5 Factors Leading to Changes in CFL NTGR Estimates Over Time</w:t>
      </w:r>
      <w:r>
        <w:rPr>
          <w:noProof/>
        </w:rPr>
        <w:tab/>
        <w:t>8-10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8.6 Approach to Adjusting CFL NTGR Estimates Over Time</w:t>
      </w:r>
      <w:r>
        <w:rPr>
          <w:noProof/>
        </w:rPr>
        <w:tab/>
        <w:t>8-12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9</w:t>
      </w:r>
      <w:r>
        <w:rPr>
          <w:noProof/>
        </w:rPr>
        <w:t xml:space="preserve"> Recommended Updates to Net-To-Gross Ratios for Industrial and Agricultural End Uses (Except Lighting)</w:t>
      </w:r>
      <w:r>
        <w:rPr>
          <w:noProof/>
        </w:rPr>
        <w:tab/>
        <w:t>9-1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 Introduction</w:t>
      </w:r>
      <w:r>
        <w:rPr>
          <w:noProof/>
        </w:rPr>
        <w:tab/>
        <w:t>9-1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 Comparison of Current DEER NTGR Values to the Results from the 2006 – 2008 EM&amp;V Studies</w:t>
      </w:r>
      <w:r>
        <w:rPr>
          <w:noProof/>
        </w:rPr>
        <w:tab/>
        <w:t>9-2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 Comparison of Methods and Sample Sizes</w:t>
      </w:r>
      <w:r>
        <w:rPr>
          <w:noProof/>
        </w:rPr>
        <w:tab/>
        <w:t>9-6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9.4 Industrial/Agricultural NTGR Sensitivity Analysis</w:t>
      </w:r>
      <w:r>
        <w:rPr>
          <w:noProof/>
        </w:rPr>
        <w:tab/>
        <w:t>9-9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9.5 Recommended 2011 DEER Updates to NTGR Values</w:t>
      </w:r>
      <w:r>
        <w:rPr>
          <w:noProof/>
        </w:rPr>
        <w:tab/>
        <w:t>9-10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9.6 Factors Likely to Lead to Changes in NTGR Over Next Three Years</w:t>
      </w:r>
      <w:r>
        <w:rPr>
          <w:noProof/>
        </w:rPr>
        <w:tab/>
        <w:t>9-11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9.7 Assessment of Current Data and Tools Available to Prepare a Forecast of NTGR Values</w:t>
      </w:r>
      <w:r>
        <w:rPr>
          <w:noProof/>
        </w:rPr>
        <w:tab/>
        <w:t>9-12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9.8 Recommended NTGR Values for Future Programs</w:t>
      </w:r>
      <w:r>
        <w:rPr>
          <w:noProof/>
        </w:rPr>
        <w:tab/>
        <w:t>9-12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lastRenderedPageBreak/>
        <w:t>10</w:t>
      </w:r>
      <w:r>
        <w:rPr>
          <w:noProof/>
        </w:rPr>
        <w:t xml:space="preserve"> Recommended Updates to the Net-to-Gross Ratios for Commercial HVAC Systems and Building Envelopes</w:t>
      </w:r>
      <w:r>
        <w:rPr>
          <w:noProof/>
        </w:rPr>
        <w:tab/>
        <w:t>10-1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10.1 Introduction</w:t>
      </w:r>
      <w:r>
        <w:rPr>
          <w:noProof/>
        </w:rPr>
        <w:tab/>
        <w:t>10-1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10.2 Comparison of the Current DEER NTGR Values to the Results from the 2006 - 2008 EM&amp;V Studies</w:t>
      </w:r>
      <w:r>
        <w:rPr>
          <w:noProof/>
        </w:rPr>
        <w:tab/>
        <w:t>10-2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10.3 Comparison of Methods and Sample Sizes</w:t>
      </w:r>
      <w:r>
        <w:rPr>
          <w:noProof/>
        </w:rPr>
        <w:tab/>
        <w:t>10-3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10.4 Recommended 2011 DEER Updates to the NTGR Values</w:t>
      </w:r>
      <w:r>
        <w:rPr>
          <w:noProof/>
        </w:rPr>
        <w:tab/>
        <w:t>10-6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 w:rsidRPr="00417326">
        <w:rPr>
          <w:rFonts w:eastAsiaTheme="minorHAnsi"/>
          <w:noProof/>
        </w:rPr>
        <w:t xml:space="preserve"> Factors Likely to Lead to Changes in the Next Three Years</w:t>
      </w:r>
      <w:r>
        <w:rPr>
          <w:noProof/>
        </w:rPr>
        <w:tab/>
        <w:t>10-8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10.6 Assessment of Current Data and Tools Available to Prepare a Forecast of NTGR Values</w:t>
      </w:r>
      <w:r>
        <w:rPr>
          <w:noProof/>
        </w:rPr>
        <w:tab/>
        <w:t>10-8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10.7 Recommended NTGR Values for Future Programs</w:t>
      </w:r>
      <w:r>
        <w:rPr>
          <w:noProof/>
        </w:rPr>
        <w:tab/>
        <w:t>10-9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11</w:t>
      </w:r>
      <w:r>
        <w:rPr>
          <w:noProof/>
        </w:rPr>
        <w:t xml:space="preserve"> Recommended Updates to Net-To-Gross Ratios for Commercial Refrigeration</w:t>
      </w:r>
      <w:r>
        <w:rPr>
          <w:noProof/>
        </w:rPr>
        <w:tab/>
        <w:t>11-1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 Introduction</w:t>
      </w:r>
      <w:r>
        <w:rPr>
          <w:noProof/>
        </w:rPr>
        <w:tab/>
        <w:t>11-1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 Comparison of Current DEER NTGR Values to the Results from the 2006 – 2008 EM&amp;V Studies</w:t>
      </w:r>
      <w:r>
        <w:rPr>
          <w:noProof/>
        </w:rPr>
        <w:tab/>
        <w:t>11-2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 Comparison of Methods and Sample Sizes</w:t>
      </w:r>
      <w:r>
        <w:rPr>
          <w:noProof/>
        </w:rPr>
        <w:tab/>
        <w:t>11-2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 Recommended 2011 DEER Updates to the NTGR Values</w:t>
      </w:r>
      <w:r>
        <w:rPr>
          <w:noProof/>
        </w:rPr>
        <w:tab/>
        <w:t>11-3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 Factors Likely to Lead to Changes in the Next Three Years</w:t>
      </w:r>
      <w:r>
        <w:rPr>
          <w:noProof/>
        </w:rPr>
        <w:tab/>
        <w:t>11-4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 Assessment of Current Data and Tools Available to Prepare a Forecast of NTGR Values</w:t>
      </w:r>
      <w:r>
        <w:rPr>
          <w:noProof/>
        </w:rPr>
        <w:tab/>
        <w:t>11-4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11.7 Recommended NTGR Values for Future Programs</w:t>
      </w:r>
      <w:r>
        <w:rPr>
          <w:noProof/>
        </w:rPr>
        <w:tab/>
        <w:t>11-4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12</w:t>
      </w:r>
      <w:r>
        <w:rPr>
          <w:noProof/>
        </w:rPr>
        <w:t xml:space="preserve"> Recommended Updates to the Net-to-Gross Ratios for Residential HVAC Systems and Building Envelopes</w:t>
      </w:r>
      <w:r>
        <w:rPr>
          <w:noProof/>
        </w:rPr>
        <w:tab/>
        <w:t>12-1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12.1 Introduction</w:t>
      </w:r>
      <w:r>
        <w:rPr>
          <w:noProof/>
        </w:rPr>
        <w:tab/>
        <w:t>12-1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12.2 Comparison of the Current DEER NTGR Values to the Results from the 2006 - 2008 EM&amp;V Studies</w:t>
      </w:r>
      <w:r>
        <w:rPr>
          <w:noProof/>
        </w:rPr>
        <w:tab/>
        <w:t>12-2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12.3 Comparison of Methods and Sample Sizes</w:t>
      </w:r>
      <w:r>
        <w:rPr>
          <w:noProof/>
        </w:rPr>
        <w:tab/>
        <w:t>12-3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12.4 Recommended 2011 DEER Updates to the NTGR Values</w:t>
      </w:r>
      <w:r>
        <w:rPr>
          <w:noProof/>
        </w:rPr>
        <w:tab/>
        <w:t>12-5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12.5</w:t>
      </w:r>
      <w:r w:rsidRPr="00417326">
        <w:rPr>
          <w:rFonts w:eastAsiaTheme="minorHAnsi"/>
          <w:noProof/>
        </w:rPr>
        <w:t xml:space="preserve"> Factors Likely to Lead to Changes in the Next Three Years</w:t>
      </w:r>
      <w:r>
        <w:rPr>
          <w:noProof/>
        </w:rPr>
        <w:tab/>
        <w:t>12-8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12.6 Assessment of Current Data and Tools Available to Prepare a Forecast of NTGR Values</w:t>
      </w:r>
      <w:r>
        <w:rPr>
          <w:noProof/>
        </w:rPr>
        <w:tab/>
        <w:t>12-9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12.7 Recommended NTGR Values for Future Programs</w:t>
      </w:r>
      <w:r>
        <w:rPr>
          <w:noProof/>
        </w:rPr>
        <w:tab/>
        <w:t>12-9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13</w:t>
      </w:r>
      <w:r>
        <w:rPr>
          <w:noProof/>
        </w:rPr>
        <w:t xml:space="preserve"> Recommended Updates to Net-to-Gross Ratios for Residential Water Heating Systems and Energy Efficiency Measures</w:t>
      </w:r>
      <w:r>
        <w:rPr>
          <w:noProof/>
        </w:rPr>
        <w:tab/>
        <w:t>13-1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13.1 Introduction – Residential Hot Water Systems and Water Flow Restriction Measures</w:t>
      </w:r>
      <w:r>
        <w:rPr>
          <w:noProof/>
        </w:rPr>
        <w:tab/>
        <w:t>13-1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13.2 Comparison of Current DEER NTGR to Results from Latest EM&amp;V Analyses in 2006-2008</w:t>
      </w:r>
      <w:r>
        <w:rPr>
          <w:noProof/>
        </w:rPr>
        <w:tab/>
        <w:t>13-2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13.3 Differences in Program Design</w:t>
      </w:r>
      <w:r>
        <w:rPr>
          <w:noProof/>
        </w:rPr>
        <w:tab/>
        <w:t>13-2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13.4 Comparison of Methods and Sample Sizes Used to Derive NTGR Results</w:t>
      </w:r>
      <w:r>
        <w:rPr>
          <w:noProof/>
        </w:rPr>
        <w:tab/>
        <w:t>13-3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13.5 Differences in Evaluation Methods</w:t>
      </w:r>
      <w:r>
        <w:rPr>
          <w:noProof/>
        </w:rPr>
        <w:tab/>
        <w:t>13-3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lastRenderedPageBreak/>
        <w:t>13.6 Differences in Sample Size</w:t>
      </w:r>
      <w:r>
        <w:rPr>
          <w:noProof/>
        </w:rPr>
        <w:tab/>
        <w:t>13-3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13.7 Recommended NTGR by Measure, Applicable Market Segments, and Building Types</w:t>
      </w:r>
      <w:r>
        <w:rPr>
          <w:noProof/>
        </w:rPr>
        <w:tab/>
        <w:t>13-4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13.8</w:t>
      </w:r>
      <w:r w:rsidRPr="00417326">
        <w:rPr>
          <w:rFonts w:eastAsiaTheme="minorHAnsi"/>
          <w:noProof/>
        </w:rPr>
        <w:t xml:space="preserve"> Factors Likely to Lead to Changes in NTGR Over the Next Three Years</w:t>
      </w:r>
      <w:r>
        <w:rPr>
          <w:noProof/>
        </w:rPr>
        <w:tab/>
        <w:t>13-6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13.9 Assessment of Current Data and Tools Available for Adjusting NTGR Over Time</w:t>
      </w:r>
      <w:r>
        <w:rPr>
          <w:noProof/>
        </w:rPr>
        <w:tab/>
        <w:t>13-6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13.10 Efficient Market Share of Gas Water Heating Systems</w:t>
      </w:r>
      <w:r>
        <w:rPr>
          <w:noProof/>
        </w:rPr>
        <w:tab/>
        <w:t>13-6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13.11 Trends in Rebate Levels as a Fraction of Incremental Cost</w:t>
      </w:r>
      <w:r>
        <w:rPr>
          <w:noProof/>
        </w:rPr>
        <w:tab/>
        <w:t>13-7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13.12 Contractor Market</w:t>
      </w:r>
      <w:r>
        <w:rPr>
          <w:noProof/>
        </w:rPr>
        <w:tab/>
        <w:t>13-7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13.13 Program Design or Sales Channel</w:t>
      </w:r>
      <w:r>
        <w:rPr>
          <w:noProof/>
        </w:rPr>
        <w:tab/>
        <w:t>13-8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eastAsiaTheme="minorHAnsi"/>
          <w:noProof/>
        </w:rPr>
        <w:t>13.14 Synthesis of NTGR Forecasting and Adjustment Analysis</w:t>
      </w:r>
      <w:r>
        <w:rPr>
          <w:noProof/>
        </w:rPr>
        <w:tab/>
        <w:t>13-8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i/>
          <w:noProof/>
        </w:rPr>
        <w:t>14</w:t>
      </w:r>
      <w:r>
        <w:rPr>
          <w:noProof/>
        </w:rPr>
        <w:t xml:space="preserve"> Recommended Updates to Net-To-Gross Ratios for Residential Appliances</w:t>
      </w:r>
      <w:r>
        <w:rPr>
          <w:noProof/>
        </w:rPr>
        <w:tab/>
        <w:t>14-1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14.1 Introduction</w:t>
      </w:r>
      <w:r>
        <w:rPr>
          <w:noProof/>
        </w:rPr>
        <w:tab/>
        <w:t>14-1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14.2 Comparison of Current DEER NTGR Values to Results 2006-2008 EM&amp;V Analyses</w:t>
      </w:r>
      <w:r>
        <w:rPr>
          <w:noProof/>
        </w:rPr>
        <w:tab/>
        <w:t>14-2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14.2.1 Differences in Program Design</w:t>
      </w:r>
      <w:r>
        <w:rPr>
          <w:noProof/>
        </w:rPr>
        <w:tab/>
        <w:t>14-2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14.2.2 Differences in Evaluation Methods</w:t>
      </w:r>
      <w:r>
        <w:rPr>
          <w:noProof/>
        </w:rPr>
        <w:tab/>
        <w:t>14-3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14.2.3 Differences in Sample Sizes</w:t>
      </w:r>
      <w:r>
        <w:rPr>
          <w:noProof/>
        </w:rPr>
        <w:tab/>
        <w:t>14-3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noProof/>
        </w:rPr>
        <w:t>14.3 Recommended NTGR by Measure and Applicable Market Segments or Building Types</w:t>
      </w:r>
      <w:r>
        <w:rPr>
          <w:noProof/>
        </w:rPr>
        <w:tab/>
        <w:t>14-4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14.4 Factors Likely to Lead to Changes in NTGR Over Next Three Years</w:t>
      </w:r>
      <w:r>
        <w:rPr>
          <w:noProof/>
        </w:rPr>
        <w:tab/>
        <w:t>14-5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14.5 Assessment of Current Data and Tools Available for Adjusting NTGR Over Time</w:t>
      </w:r>
      <w:r>
        <w:rPr>
          <w:noProof/>
        </w:rPr>
        <w:tab/>
        <w:t>14-5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14.6 Synthesis of NTGR Adjustment Analysis</w:t>
      </w:r>
      <w:r>
        <w:rPr>
          <w:noProof/>
        </w:rPr>
        <w:tab/>
        <w:t>14-6</w:t>
      </w:r>
    </w:p>
    <w:p w:rsidR="006432C1" w:rsidRDefault="006432C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7326">
        <w:rPr>
          <w:rFonts w:cs="Times New Roman"/>
          <w:i/>
          <w:noProof/>
        </w:rPr>
        <w:t>15</w:t>
      </w:r>
      <w:r>
        <w:rPr>
          <w:noProof/>
        </w:rPr>
        <w:t xml:space="preserve"> Default NTGRs</w:t>
      </w:r>
      <w:r>
        <w:rPr>
          <w:noProof/>
        </w:rPr>
        <w:tab/>
        <w:t>15-1</w:t>
      </w:r>
    </w:p>
    <w:p w:rsidR="006432C1" w:rsidRDefault="006432C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7326">
        <w:rPr>
          <w:rFonts w:cs="Times New Roman"/>
          <w:noProof/>
        </w:rPr>
        <w:t>15.1</w:t>
      </w:r>
      <w:r>
        <w:rPr>
          <w:noProof/>
        </w:rPr>
        <w:t xml:space="preserve"> Rationale for Default Values</w:t>
      </w:r>
      <w:r>
        <w:rPr>
          <w:noProof/>
        </w:rPr>
        <w:tab/>
        <w:t>15-2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15.1.1</w:t>
      </w:r>
      <w:r>
        <w:rPr>
          <w:noProof/>
        </w:rPr>
        <w:t xml:space="preserve"> Default Values for the Hard to Reach Population</w:t>
      </w:r>
      <w:r>
        <w:rPr>
          <w:noProof/>
        </w:rPr>
        <w:tab/>
        <w:t>15-2</w:t>
      </w:r>
    </w:p>
    <w:p w:rsidR="006432C1" w:rsidRDefault="006432C1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417326">
        <w:rPr>
          <w:rFonts w:cs="Times New Roman"/>
          <w:noProof/>
        </w:rPr>
        <w:t>15.1.2</w:t>
      </w:r>
      <w:r>
        <w:rPr>
          <w:noProof/>
        </w:rPr>
        <w:t xml:space="preserve"> Rationale for the Use of .70 NTG Value</w:t>
      </w:r>
      <w:r>
        <w:rPr>
          <w:noProof/>
        </w:rPr>
        <w:tab/>
        <w:t>15-2</w:t>
      </w:r>
    </w:p>
    <w:p w:rsidR="004529F4" w:rsidRDefault="00580B73" w:rsidP="003363E9">
      <w:pPr>
        <w:pStyle w:val="TOC2"/>
      </w:pPr>
      <w:r>
        <w:fldChar w:fldCharType="end"/>
      </w:r>
    </w:p>
    <w:p w:rsidR="003101E6" w:rsidRDefault="00F675EB" w:rsidP="00412A9A">
      <w:pPr>
        <w:pStyle w:val="Normal3"/>
        <w:jc w:val="center"/>
        <w:rPr>
          <w:noProof/>
        </w:rPr>
      </w:pPr>
      <w:r>
        <w:rPr>
          <w:rFonts w:ascii="Arial" w:hAnsi="Arial" w:cs="Arial"/>
          <w:b/>
        </w:rPr>
        <w:br w:type="page"/>
      </w:r>
    </w:p>
    <w:p w:rsidR="00342347" w:rsidRPr="00944271" w:rsidRDefault="00342347" w:rsidP="00476AC7">
      <w:pPr>
        <w:pStyle w:val="Normal3"/>
        <w:jc w:val="center"/>
        <w:rPr>
          <w:rFonts w:ascii="Arial" w:hAnsi="Arial" w:cs="Arial"/>
          <w:noProof/>
        </w:rPr>
      </w:pPr>
      <w:r w:rsidRPr="00476AC7">
        <w:rPr>
          <w:rFonts w:ascii="Arial" w:hAnsi="Arial" w:cs="Arial"/>
          <w:b/>
        </w:rPr>
        <w:lastRenderedPageBreak/>
        <w:t>List of Tables</w:t>
      </w:r>
    </w:p>
    <w:p w:rsidR="006432C1" w:rsidRDefault="00580B73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675EB">
        <w:rPr>
          <w:noProof/>
        </w:rPr>
        <w:fldChar w:fldCharType="begin"/>
      </w:r>
      <w:r w:rsidR="004529F4" w:rsidRPr="008F77B5">
        <w:rPr>
          <w:noProof/>
        </w:rPr>
        <w:instrText xml:space="preserve"> TOC \c "Table" </w:instrText>
      </w:r>
      <w:r w:rsidRPr="00F675EB">
        <w:rPr>
          <w:noProof/>
        </w:rPr>
        <w:fldChar w:fldCharType="separate"/>
      </w:r>
      <w:r w:rsidR="006432C1">
        <w:rPr>
          <w:noProof/>
        </w:rPr>
        <w:t>Table ES</w:t>
      </w:r>
      <w:r w:rsidR="006432C1">
        <w:rPr>
          <w:noProof/>
        </w:rPr>
        <w:noBreakHyphen/>
        <w:t>1: Proposed Changes in Hours of Use for Residential Lighting and Impact on Unit Savings UES Estimate</w:t>
      </w:r>
      <w:r w:rsidR="006432C1">
        <w:rPr>
          <w:noProof/>
        </w:rPr>
        <w:tab/>
        <w:t>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2: Wattage Reduction Ratio Recommendations (WRR) for Short Term Update</w:t>
      </w:r>
      <w:r>
        <w:rPr>
          <w:noProof/>
        </w:rPr>
        <w:tab/>
        <w:t>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3: Recommended Statewide Average Electric Unit Energy Impacts for Faucet Aerators and Low-Flow Showerheads</w:t>
      </w:r>
      <w:r>
        <w:rPr>
          <w:noProof/>
        </w:rPr>
        <w:tab/>
        <w:t>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4: Recommended Statewide Average Natural Gas Unit Energy Impacts for Faucet Aerators and Low-Flow Showerheads</w:t>
      </w:r>
      <w:r>
        <w:rPr>
          <w:noProof/>
        </w:rPr>
        <w:tab/>
        <w:t>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5: Recommended Changes in Net to Gross Ratios (NTGR) for Residential and Non-Residential Lighting Technologies by Program Delivery Method (Statewide Values)</w:t>
      </w:r>
      <w:r>
        <w:rPr>
          <w:noProof/>
        </w:rPr>
        <w:tab/>
        <w:t>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6: Recommended Changes in NTGR for Residential and Non-Residential HVAC Systems by Program Delivery Method</w:t>
      </w:r>
      <w:r>
        <w:rPr>
          <w:noProof/>
        </w:rPr>
        <w:tab/>
        <w:t>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7: Recommended Changes in Net to Gross Ratio (NTGR) for the Remaining Commercial and Industrial Measures</w:t>
      </w:r>
      <w:r>
        <w:rPr>
          <w:noProof/>
        </w:rPr>
        <w:tab/>
        <w:t>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8: Recommended Changes in Net to Gross Ratio (NTGR) for Hot Water Heating Systems and Residential Appliances</w:t>
      </w:r>
      <w:r>
        <w:rPr>
          <w:noProof/>
        </w:rPr>
        <w:tab/>
        <w:t>8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9: Recommended Changes in Default Net to Gross Ratio (NTGR)</w:t>
      </w:r>
      <w:r>
        <w:rPr>
          <w:noProof/>
        </w:rPr>
        <w:tab/>
        <w:t>8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ES</w:t>
      </w:r>
      <w:r>
        <w:rPr>
          <w:noProof/>
        </w:rPr>
        <w:noBreakHyphen/>
        <w:t>10: Weighted Average NTGR Across All Evaluated Programs in 2006-08</w:t>
      </w:r>
      <w:r>
        <w:rPr>
          <w:noProof/>
        </w:rPr>
        <w:tab/>
        <w:t>9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</w:t>
      </w:r>
      <w:r>
        <w:rPr>
          <w:noProof/>
        </w:rPr>
        <w:noBreakHyphen/>
        <w:t>1:  Organization Structure of DEER Analysis Teams</w:t>
      </w:r>
      <w:r>
        <w:rPr>
          <w:noProof/>
        </w:rPr>
        <w:tab/>
        <w:t>1-3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</w:t>
      </w:r>
      <w:r>
        <w:rPr>
          <w:noProof/>
        </w:rPr>
        <w:noBreakHyphen/>
        <w:t>2:  Technology Areas Selected for Update in 2011</w:t>
      </w:r>
      <w:r>
        <w:rPr>
          <w:noProof/>
        </w:rPr>
        <w:tab/>
        <w:t>1-4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1:  Comparisons of the Technology Group Share of Electricity Savings Over Time</w:t>
      </w:r>
      <w:r>
        <w:rPr>
          <w:noProof/>
        </w:rPr>
        <w:tab/>
        <w:t>2-2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2: Ranked Non-Residential Lighting EEM Categories</w:t>
      </w:r>
      <w:r>
        <w:rPr>
          <w:noProof/>
        </w:rPr>
        <w:tab/>
        <w:t>2-3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3: Ranked Commercial HVAC and Building Envelope EEM Categories</w:t>
      </w:r>
      <w:r>
        <w:rPr>
          <w:noProof/>
        </w:rPr>
        <w:tab/>
        <w:t>2-3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4:  Residential and Commercial Hot Water Heating EEM Categories Parameter Updates</w:t>
      </w:r>
      <w:r>
        <w:rPr>
          <w:noProof/>
        </w:rPr>
        <w:tab/>
        <w:t>2-6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5:  Ranked Commercial Information Technology Equipment and Plug Loads EEM Categories</w:t>
      </w:r>
      <w:r>
        <w:rPr>
          <w:noProof/>
        </w:rPr>
        <w:tab/>
        <w:t>2-7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6: Ranked Commercial Refrigeration EEM Categories</w:t>
      </w:r>
      <w:r>
        <w:rPr>
          <w:noProof/>
        </w:rPr>
        <w:tab/>
        <w:t>2-7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7: Ranked Industrial and Agricultural EEM Categories</w:t>
      </w:r>
      <w:r>
        <w:rPr>
          <w:noProof/>
        </w:rPr>
        <w:tab/>
        <w:t>2-8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8: Ranked Residential Lighting EEM Categories</w:t>
      </w:r>
      <w:r>
        <w:rPr>
          <w:noProof/>
        </w:rPr>
        <w:tab/>
        <w:t>2-9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2</w:t>
      </w:r>
      <w:r>
        <w:rPr>
          <w:noProof/>
        </w:rPr>
        <w:noBreakHyphen/>
        <w:t>9: Ranked Residential HVAC and Building Envelope EEM Categories</w:t>
      </w:r>
      <w:r>
        <w:rPr>
          <w:noProof/>
        </w:rPr>
        <w:tab/>
        <w:t>2-10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Table 2</w:t>
      </w:r>
      <w:r>
        <w:rPr>
          <w:noProof/>
        </w:rPr>
        <w:noBreakHyphen/>
        <w:t>10 Ranked Residential Appliance and Plug Load EEM Categories</w:t>
      </w:r>
      <w:r>
        <w:rPr>
          <w:noProof/>
        </w:rPr>
        <w:tab/>
        <w:t>2-11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1: Wattage Reduction Ratio Interior Scenarios Sample Sizes</w:t>
      </w:r>
      <w:r>
        <w:rPr>
          <w:noProof/>
        </w:rPr>
        <w:tab/>
        <w:t>3-2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2: Wattage Reduction Ratio Recommendations for Short Term Update</w:t>
      </w:r>
      <w:r>
        <w:rPr>
          <w:noProof/>
        </w:rPr>
        <w:tab/>
        <w:t>3-3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3: Program Bulbs Shipped by IOU (in millions)</w:t>
      </w:r>
      <w:r>
        <w:rPr>
          <w:noProof/>
        </w:rPr>
        <w:tab/>
        <w:t>3-4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4: Projected Number of Residential Households by IOU (in millions)</w:t>
      </w:r>
      <w:r>
        <w:rPr>
          <w:noProof/>
        </w:rPr>
        <w:tab/>
        <w:t>3-5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5: CFL Saturation Increment by IOU and IOU</w:t>
      </w:r>
      <w:r>
        <w:rPr>
          <w:noProof/>
        </w:rPr>
        <w:tab/>
        <w:t>3-6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6: Projected CFL Hours-of-Use by IOU and Space Type for Scenario “Constant”</w:t>
      </w:r>
      <w:r>
        <w:rPr>
          <w:noProof/>
        </w:rPr>
        <w:tab/>
        <w:t>3-10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7: Projected CFL Hours-of-Use by IOU and Space Type for Scenario “Half”</w:t>
      </w:r>
      <w:r>
        <w:rPr>
          <w:noProof/>
        </w:rPr>
        <w:tab/>
        <w:t>3-11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3</w:t>
      </w:r>
      <w:r>
        <w:rPr>
          <w:noProof/>
        </w:rPr>
        <w:noBreakHyphen/>
        <w:t>8: Estimated Daily Hours of Use for Interior and Exterior Residential Light Fixtures</w:t>
      </w:r>
      <w:r>
        <w:rPr>
          <w:noProof/>
        </w:rPr>
        <w:tab/>
        <w:t>3-13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1:  Commercial Lighting EEM Categories Parameter Updates</w:t>
      </w:r>
      <w:r>
        <w:rPr>
          <w:noProof/>
        </w:rPr>
        <w:tab/>
        <w:t>4-2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2:  Comparison of Sample Sizes – Linear Fluorescents</w:t>
      </w:r>
      <w:r>
        <w:rPr>
          <w:noProof/>
        </w:rPr>
        <w:tab/>
        <w:t>4-6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3:  Comparison of Sample Sizes – CFLs</w:t>
      </w:r>
      <w:r>
        <w:rPr>
          <w:noProof/>
        </w:rPr>
        <w:tab/>
        <w:t>4-7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4:  DEER 2008 – from Documentation (1 of 3)</w:t>
      </w:r>
      <w:r>
        <w:rPr>
          <w:noProof/>
        </w:rPr>
        <w:tab/>
        <w:t>4-8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5:  DEER 2008 – from Documentation (2 of 3)</w:t>
      </w:r>
      <w:r>
        <w:rPr>
          <w:noProof/>
        </w:rPr>
        <w:tab/>
        <w:t>4-9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6:  DEER 2008 – from Documentation (3 of 3)</w:t>
      </w:r>
      <w:r>
        <w:rPr>
          <w:noProof/>
        </w:rPr>
        <w:tab/>
        <w:t>4-10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7:  DEER 2008 – HOU and CF by Building Type</w:t>
      </w:r>
      <w:r>
        <w:rPr>
          <w:noProof/>
        </w:rPr>
        <w:tab/>
        <w:t>4-11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8:  DEER 2008 Analysis of Express Logger Data – Linear Fluorescents</w:t>
      </w:r>
      <w:r>
        <w:rPr>
          <w:noProof/>
        </w:rPr>
        <w:tab/>
        <w:t>4-12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9:  DEER 2008 Analysis of Express Logger Data – CFLs</w:t>
      </w:r>
      <w:r>
        <w:rPr>
          <w:noProof/>
        </w:rPr>
        <w:tab/>
        <w:t>4-13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10:  Potential Updates for HOU and CF – Linear Fluorescents</w:t>
      </w:r>
      <w:r>
        <w:rPr>
          <w:noProof/>
        </w:rPr>
        <w:tab/>
        <w:t>4-15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11:  Potential Updates for HOU and CF – CFLs</w:t>
      </w:r>
      <w:r>
        <w:rPr>
          <w:noProof/>
        </w:rPr>
        <w:tab/>
        <w:t>4-15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12:  Delta Watts – CFLs</w:t>
      </w:r>
      <w:r>
        <w:rPr>
          <w:noProof/>
        </w:rPr>
        <w:tab/>
        <w:t>4-19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13:  Comparison of 2008 and 2005 Fixed input Power for Linear Fluorescents</w:t>
      </w:r>
      <w:r>
        <w:rPr>
          <w:noProof/>
        </w:rPr>
        <w:tab/>
        <w:t>4-20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4</w:t>
      </w:r>
      <w:r>
        <w:rPr>
          <w:noProof/>
        </w:rPr>
        <w:noBreakHyphen/>
        <w:t>14: Impact of Proposed Changes on T-12 RUL by Building Type</w:t>
      </w:r>
      <w:r>
        <w:rPr>
          <w:noProof/>
        </w:rPr>
        <w:tab/>
        <w:t>4-21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1:  Comparison of 2005 DEER IOU Electricity Impacts and Proposed Impacts for Faucet Aerators and Low-Flow Showerheads</w:t>
      </w:r>
      <w:r>
        <w:rPr>
          <w:noProof/>
        </w:rPr>
        <w:tab/>
        <w:t>5-2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2:  Recommended Statewide Average Electric Unit Energy Impacts for Faucet Aerators and Low-Flow Showerheads</w:t>
      </w:r>
      <w:r>
        <w:rPr>
          <w:noProof/>
        </w:rPr>
        <w:tab/>
        <w:t>5-3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3:  Comparison of Proposed IOU Natural Gas Impacts and 2005 DEER Impacts for Faucet Aerators and Low-Flow Showerheads</w:t>
      </w:r>
      <w:r>
        <w:rPr>
          <w:noProof/>
        </w:rPr>
        <w:tab/>
        <w:t>5-4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Table 5</w:t>
      </w:r>
      <w:r>
        <w:rPr>
          <w:noProof/>
        </w:rPr>
        <w:noBreakHyphen/>
        <w:t>4:  Recommended Statewide Average Natural Gas Unit Energy Impacts for Faucet Aerators and Low-Flow Showerheads</w:t>
      </w:r>
      <w:r>
        <w:rPr>
          <w:noProof/>
        </w:rPr>
        <w:tab/>
        <w:t>5-5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5:  Sample Size by Utility Program</w:t>
      </w:r>
      <w:r>
        <w:rPr>
          <w:noProof/>
        </w:rPr>
        <w:tab/>
        <w:t>5-6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6:  Energy Factor for Rebated Hot Water Heaters</w:t>
      </w:r>
      <w:r>
        <w:rPr>
          <w:noProof/>
        </w:rPr>
        <w:tab/>
        <w:t>5-6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7:  Average Storage Size for Rebated Hot Water Heaters</w:t>
      </w:r>
      <w:r>
        <w:rPr>
          <w:noProof/>
        </w:rPr>
        <w:tab/>
        <w:t>5-6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8:  Average Temperature Setting for Hot Water Heaters</w:t>
      </w:r>
      <w:r>
        <w:rPr>
          <w:noProof/>
        </w:rPr>
        <w:tab/>
        <w:t>5-6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9:  Recommended Statewide Electric Unit Energy Impacts for Faucet Aerators and Low-Flow Showerheads</w:t>
      </w:r>
      <w:r>
        <w:rPr>
          <w:noProof/>
        </w:rPr>
        <w:tab/>
        <w:t>5-7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5</w:t>
      </w:r>
      <w:r>
        <w:rPr>
          <w:noProof/>
        </w:rPr>
        <w:noBreakHyphen/>
        <w:t>10:  Recommended Statewide Natural Gas Unit Energy Impacts for Faucet Aerators and Low-Flow Showerheads</w:t>
      </w:r>
      <w:r>
        <w:rPr>
          <w:noProof/>
        </w:rPr>
        <w:tab/>
        <w:t>5-7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6</w:t>
      </w:r>
      <w:r>
        <w:rPr>
          <w:noProof/>
        </w:rPr>
        <w:noBreakHyphen/>
        <w:t>1:  Master Table of NTGR for Specific Measure/Delivery Combinations Over Time</w:t>
      </w:r>
      <w:r>
        <w:rPr>
          <w:noProof/>
        </w:rPr>
        <w:tab/>
        <w:t>6-2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7</w:t>
      </w:r>
      <w:r>
        <w:rPr>
          <w:noProof/>
        </w:rPr>
        <w:noBreakHyphen/>
        <w:t>1:  Overview of NTGR Results by Measure, Delivery Mechanism and Vintage</w:t>
      </w:r>
      <w:r>
        <w:rPr>
          <w:noProof/>
        </w:rPr>
        <w:tab/>
        <w:t>7-3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7</w:t>
      </w:r>
      <w:r>
        <w:rPr>
          <w:noProof/>
        </w:rPr>
        <w:noBreakHyphen/>
        <w:t>2:  Methods and Sample Sizes for Non-Residential Lighting</w:t>
      </w:r>
      <w:r>
        <w:rPr>
          <w:noProof/>
        </w:rPr>
        <w:tab/>
        <w:t>7-4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7</w:t>
      </w:r>
      <w:r>
        <w:rPr>
          <w:noProof/>
        </w:rPr>
        <w:noBreakHyphen/>
        <w:t>3:  Recommended NTGR by Measure and Delivery Method</w:t>
      </w:r>
      <w:r>
        <w:rPr>
          <w:noProof/>
        </w:rPr>
        <w:tab/>
        <w:t>7-5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7</w:t>
      </w:r>
      <w:r>
        <w:rPr>
          <w:noProof/>
        </w:rPr>
        <w:noBreakHyphen/>
        <w:t>4:  CFL Sample Sizes and Net to Gross Ratios by Building Type and Delivery Mechanism</w:t>
      </w:r>
      <w:r>
        <w:rPr>
          <w:noProof/>
        </w:rPr>
        <w:tab/>
        <w:t>7-6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7</w:t>
      </w:r>
      <w:r>
        <w:rPr>
          <w:noProof/>
        </w:rPr>
        <w:noBreakHyphen/>
        <w:t>5:  Linear Fluorescent Sample Sizes and Net to Gross Ratios by Building Type and Delivery Mechanism</w:t>
      </w:r>
      <w:r>
        <w:rPr>
          <w:noProof/>
        </w:rPr>
        <w:tab/>
        <w:t>7-7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1: CFL NTGR Estimates by Method and Final Recommended CFL NTGR Estimates from 2006-2008 Upstream Lighting Program Impact Evaluation</w:t>
      </w:r>
      <w:r>
        <w:rPr>
          <w:noProof/>
        </w:rPr>
        <w:tab/>
        <w:t>8-3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2: Upstream Lighting Program CFL Shipments by Channel and Year</w:t>
      </w:r>
      <w:r>
        <w:rPr>
          <w:noProof/>
        </w:rPr>
        <w:tab/>
        <w:t>8-6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3: Basic CFL as a Percent of All CFL Shipments by Channel and Year</w:t>
      </w:r>
      <w:r>
        <w:rPr>
          <w:noProof/>
        </w:rPr>
        <w:tab/>
        <w:t>8-6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4: Basic CFL Distributions by Channel and NTGR Estimates  (2010 through Q2011)</w:t>
      </w:r>
      <w:r>
        <w:rPr>
          <w:noProof/>
        </w:rPr>
        <w:tab/>
        <w:t>8-7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5: CFL NTGR Estimates: Comparison Across Recent Studies</w:t>
      </w:r>
      <w:r>
        <w:rPr>
          <w:noProof/>
        </w:rPr>
        <w:tab/>
        <w:t>8-8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8</w:t>
      </w:r>
      <w:r>
        <w:rPr>
          <w:noProof/>
        </w:rPr>
        <w:noBreakHyphen/>
        <w:t>6: Effect of Channel Level NTGR on Overall Program NTGR for Residential CFL’s</w:t>
      </w:r>
      <w:r>
        <w:rPr>
          <w:noProof/>
        </w:rPr>
        <w:tab/>
        <w:t>8-10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9</w:t>
      </w:r>
      <w:r>
        <w:rPr>
          <w:noProof/>
        </w:rPr>
        <w:noBreakHyphen/>
        <w:t xml:space="preserve">1:  </w:t>
      </w:r>
      <w:r w:rsidRPr="004458F1">
        <w:rPr>
          <w:rFonts w:eastAsiaTheme="minorHAnsi"/>
          <w:noProof/>
        </w:rPr>
        <w:t>Overview of NTGR Results by Measure and Delivery Approach</w:t>
      </w:r>
      <w:r>
        <w:rPr>
          <w:noProof/>
        </w:rPr>
        <w:tab/>
        <w:t>9-3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9</w:t>
      </w:r>
      <w:r>
        <w:rPr>
          <w:noProof/>
        </w:rPr>
        <w:noBreakHyphen/>
        <w:t>2: Information Sources for Three Levels of NTGR Analysis</w:t>
      </w:r>
      <w:r>
        <w:rPr>
          <w:noProof/>
        </w:rPr>
        <w:tab/>
        <w:t>9-7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9</w:t>
      </w:r>
      <w:r>
        <w:rPr>
          <w:noProof/>
        </w:rPr>
        <w:noBreakHyphen/>
        <w:t>3:  Methods and Sample Sizes for Agricultural and Industrial Measures</w:t>
      </w:r>
      <w:r>
        <w:rPr>
          <w:noProof/>
        </w:rPr>
        <w:tab/>
        <w:t>9-9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9</w:t>
      </w:r>
      <w:r>
        <w:rPr>
          <w:noProof/>
        </w:rPr>
        <w:noBreakHyphen/>
        <w:t>4: Industrial/Agricultural NTGR Sensitivity Analysis Results</w:t>
      </w:r>
      <w:r>
        <w:rPr>
          <w:noProof/>
        </w:rPr>
        <w:tab/>
        <w:t>9-10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9</w:t>
      </w:r>
      <w:r>
        <w:rPr>
          <w:noProof/>
        </w:rPr>
        <w:noBreakHyphen/>
        <w:t>5:  Recommended NTGR by Measure and Delivery Method</w:t>
      </w:r>
      <w:r>
        <w:rPr>
          <w:noProof/>
        </w:rPr>
        <w:tab/>
        <w:t>9-11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Table 9</w:t>
      </w:r>
      <w:r>
        <w:rPr>
          <w:noProof/>
        </w:rPr>
        <w:noBreakHyphen/>
        <w:t>6:  Statewide Custom Electric Measures Net to Gross Ratios for the Period 1998-2008</w:t>
      </w:r>
      <w:r>
        <w:rPr>
          <w:noProof/>
        </w:rPr>
        <w:tab/>
        <w:t>9-12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 xml:space="preserve">1:  </w:t>
      </w:r>
      <w:r w:rsidRPr="004458F1">
        <w:rPr>
          <w:rFonts w:eastAsiaTheme="minorHAnsi"/>
          <w:noProof/>
        </w:rPr>
        <w:t>Overview of NTGR Results by Measure and Delivery Approach</w:t>
      </w:r>
      <w:r>
        <w:rPr>
          <w:noProof/>
        </w:rPr>
        <w:tab/>
        <w:t>10-2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>2: '04-'05 Upstream HVAC Study Free-Ridership Estimates and NTFR Ratios</w:t>
      </w:r>
      <w:r>
        <w:rPr>
          <w:noProof/>
        </w:rPr>
        <w:tab/>
        <w:t>10-4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>3: '04-'05 Upstream HVAC Study Free-Ridership Estimates by IOU</w:t>
      </w:r>
      <w:r>
        <w:rPr>
          <w:noProof/>
        </w:rPr>
        <w:tab/>
        <w:t>10-5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>4: '04-'05 Express and Upstream Study NTGR Results</w:t>
      </w:r>
      <w:r>
        <w:rPr>
          <w:noProof/>
        </w:rPr>
        <w:tab/>
        <w:t>10-5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>5:  Methods and Sample Sizes for Commercial HVAC EEMs in the ‘06-‘08 EM&amp;V Studies</w:t>
      </w:r>
      <w:r>
        <w:rPr>
          <w:noProof/>
        </w:rPr>
        <w:tab/>
        <w:t>10-6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10</w:t>
      </w:r>
      <w:r>
        <w:rPr>
          <w:noProof/>
        </w:rPr>
        <w:noBreakHyphen/>
        <w:t>6:  Recommended NTGR by Measure and Delivery Method</w:t>
      </w:r>
      <w:r>
        <w:rPr>
          <w:noProof/>
        </w:rPr>
        <w:tab/>
        <w:t>10-7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11</w:t>
      </w:r>
      <w:r>
        <w:rPr>
          <w:noProof/>
        </w:rPr>
        <w:noBreakHyphen/>
        <w:t xml:space="preserve">1:  </w:t>
      </w:r>
      <w:r w:rsidRPr="004458F1">
        <w:rPr>
          <w:rFonts w:eastAsiaTheme="minorHAnsi"/>
          <w:noProof/>
        </w:rPr>
        <w:t>Overview of NTGR results by Measure and Delivery Mechanism</w:t>
      </w:r>
      <w:r>
        <w:rPr>
          <w:noProof/>
        </w:rPr>
        <w:tab/>
        <w:t>11-2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11</w:t>
      </w:r>
      <w:r>
        <w:rPr>
          <w:noProof/>
        </w:rPr>
        <w:noBreakHyphen/>
        <w:t>2:  Methods and Sample Sizes for Commercial Refrigeration Measures</w:t>
      </w:r>
      <w:r>
        <w:rPr>
          <w:noProof/>
        </w:rPr>
        <w:tab/>
        <w:t>11-3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11</w:t>
      </w:r>
      <w:r>
        <w:rPr>
          <w:noProof/>
        </w:rPr>
        <w:noBreakHyphen/>
        <w:t>3:  Recommended NTGR by Measure and Delivery Method</w:t>
      </w:r>
      <w:r>
        <w:rPr>
          <w:noProof/>
        </w:rPr>
        <w:tab/>
        <w:t>11-3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12</w:t>
      </w:r>
      <w:r>
        <w:rPr>
          <w:noProof/>
        </w:rPr>
        <w:noBreakHyphen/>
        <w:t xml:space="preserve">1:  </w:t>
      </w:r>
      <w:r w:rsidRPr="004458F1">
        <w:rPr>
          <w:rFonts w:eastAsiaTheme="minorHAnsi"/>
          <w:noProof/>
        </w:rPr>
        <w:t>Overview of NTGR Results by Measure and Delivery Method</w:t>
      </w:r>
      <w:r>
        <w:rPr>
          <w:noProof/>
        </w:rPr>
        <w:tab/>
        <w:t>12-3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12</w:t>
      </w:r>
      <w:r>
        <w:rPr>
          <w:noProof/>
        </w:rPr>
        <w:noBreakHyphen/>
        <w:t>2:  Methods and Sample Sizes for Residential HVAC in the ‘06-‘08 EM&amp;V Studies</w:t>
      </w:r>
      <w:r>
        <w:rPr>
          <w:noProof/>
        </w:rPr>
        <w:tab/>
        <w:t>12-4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12</w:t>
      </w:r>
      <w:r>
        <w:rPr>
          <w:noProof/>
        </w:rPr>
        <w:noBreakHyphen/>
        <w:t>3:  Recommended NTGR by Measure and Delivery Method</w:t>
      </w:r>
      <w:r>
        <w:rPr>
          <w:noProof/>
        </w:rPr>
        <w:tab/>
        <w:t>12-6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13</w:t>
      </w:r>
      <w:r>
        <w:rPr>
          <w:noProof/>
        </w:rPr>
        <w:noBreakHyphen/>
        <w:t>1:</w:t>
      </w:r>
      <w:r w:rsidRPr="004458F1">
        <w:rPr>
          <w:noProof/>
        </w:rPr>
        <w:t xml:space="preserve"> </w:t>
      </w:r>
      <w:r>
        <w:rPr>
          <w:noProof/>
        </w:rPr>
        <w:t>Overview of NTGR Results by Measure, Delivery Mechanism and Source</w:t>
      </w:r>
      <w:r>
        <w:rPr>
          <w:noProof/>
        </w:rPr>
        <w:tab/>
        <w:t>13-2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13</w:t>
      </w:r>
      <w:r>
        <w:rPr>
          <w:noProof/>
        </w:rPr>
        <w:noBreakHyphen/>
        <w:t>2:  Methods and Sample Sizes for Aerators and Low-Flow Showerheads</w:t>
      </w:r>
      <w:r>
        <w:rPr>
          <w:noProof/>
        </w:rPr>
        <w:tab/>
        <w:t>13-4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13</w:t>
      </w:r>
      <w:r>
        <w:rPr>
          <w:noProof/>
        </w:rPr>
        <w:noBreakHyphen/>
        <w:t>3:  Methods and Sample Sizes for Residential Gas Water Heating Systems</w:t>
      </w:r>
      <w:r>
        <w:rPr>
          <w:noProof/>
        </w:rPr>
        <w:tab/>
        <w:t>13-4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13</w:t>
      </w:r>
      <w:r>
        <w:rPr>
          <w:noProof/>
        </w:rPr>
        <w:noBreakHyphen/>
        <w:t>4:  Recommended NTGR by Measure and Delivery Method</w:t>
      </w:r>
      <w:r>
        <w:rPr>
          <w:noProof/>
        </w:rPr>
        <w:tab/>
        <w:t>13-5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13</w:t>
      </w:r>
      <w:r>
        <w:rPr>
          <w:noProof/>
        </w:rPr>
        <w:noBreakHyphen/>
        <w:t xml:space="preserve">5: </w:t>
      </w:r>
      <w:r w:rsidRPr="004458F1">
        <w:rPr>
          <w:rFonts w:eastAsiaTheme="minorHAnsi"/>
          <w:noProof/>
        </w:rPr>
        <w:t xml:space="preserve"> Trends in Efficient Market Share for Gas Water Heater Systems</w:t>
      </w:r>
      <w:r>
        <w:rPr>
          <w:noProof/>
        </w:rPr>
        <w:tab/>
        <w:t>13-7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14</w:t>
      </w:r>
      <w:r>
        <w:rPr>
          <w:noProof/>
        </w:rPr>
        <w:noBreakHyphen/>
        <w:t xml:space="preserve">1:  </w:t>
      </w:r>
      <w:r w:rsidRPr="004458F1">
        <w:rPr>
          <w:rFonts w:eastAsiaTheme="minorHAnsi"/>
          <w:noProof/>
        </w:rPr>
        <w:t>Overview of NTGR Results by Measure and Delivery Mechanism</w:t>
      </w:r>
      <w:r>
        <w:rPr>
          <w:noProof/>
        </w:rPr>
        <w:tab/>
        <w:t>14-2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14</w:t>
      </w:r>
      <w:r>
        <w:rPr>
          <w:noProof/>
        </w:rPr>
        <w:noBreakHyphen/>
        <w:t>2:  Methods and Sample Sizes for Residential Appliances EEMs in the 2006-2008 EM&amp;V Studies</w:t>
      </w:r>
      <w:r>
        <w:rPr>
          <w:noProof/>
        </w:rPr>
        <w:tab/>
        <w:t>14-4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14</w:t>
      </w:r>
      <w:r>
        <w:rPr>
          <w:noProof/>
        </w:rPr>
        <w:noBreakHyphen/>
        <w:t>3:  Recommended NTGR by Measure and Delivery Method</w:t>
      </w:r>
      <w:r>
        <w:rPr>
          <w:noProof/>
        </w:rPr>
        <w:tab/>
        <w:t>14-5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15</w:t>
      </w:r>
      <w:r>
        <w:rPr>
          <w:noProof/>
        </w:rPr>
        <w:noBreakHyphen/>
        <w:t>1:  Comparison of Previous NTGs to DEER 2009-2011 Planning NTGs</w:t>
      </w:r>
      <w:r>
        <w:rPr>
          <w:noProof/>
        </w:rPr>
        <w:tab/>
        <w:t>15-3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15</w:t>
      </w:r>
      <w:r>
        <w:rPr>
          <w:noProof/>
        </w:rPr>
        <w:noBreakHyphen/>
        <w:t>2:  Weighted Average NTGR Across All Evaluated Programs in 2006-08</w:t>
      </w:r>
      <w:r>
        <w:rPr>
          <w:noProof/>
        </w:rPr>
        <w:tab/>
        <w:t>15-4</w:t>
      </w:r>
    </w:p>
    <w:p w:rsidR="006432C1" w:rsidRDefault="006432C1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Table 15</w:t>
      </w:r>
      <w:r>
        <w:rPr>
          <w:noProof/>
        </w:rPr>
        <w:noBreakHyphen/>
        <w:t>3: Proposed Net to Gross Ratio Defaults for Measures</w:t>
      </w:r>
      <w:r>
        <w:rPr>
          <w:noProof/>
        </w:rPr>
        <w:tab/>
        <w:t>15-4</w:t>
      </w:r>
    </w:p>
    <w:p w:rsidR="008F77B5" w:rsidRDefault="00580B73" w:rsidP="00944271">
      <w:pPr>
        <w:pStyle w:val="TableofFigures"/>
        <w:spacing w:after="0"/>
        <w:rPr>
          <w:noProof/>
        </w:rPr>
      </w:pPr>
      <w:r w:rsidRPr="00F675EB">
        <w:rPr>
          <w:noProof/>
        </w:rPr>
        <w:fldChar w:fldCharType="end"/>
      </w:r>
    </w:p>
    <w:p w:rsidR="0048312B" w:rsidRDefault="00580B73" w:rsidP="0048312B">
      <w:pPr>
        <w:pStyle w:val="Normal3"/>
      </w:pPr>
      <w:r>
        <w:fldChar w:fldCharType="begin"/>
      </w:r>
      <w:r w:rsidR="0048312B">
        <w:instrText xml:space="preserve"> RD “</w:instrText>
      </w:r>
      <w:r w:rsidR="004F1C87" w:rsidRPr="004F1C87">
        <w:instrText>execsum_final.docx</w:instrText>
      </w:r>
      <w:r w:rsidR="0048312B">
        <w:instrText xml:space="preserve">” </w:instrText>
      </w:r>
      <w:r>
        <w:fldChar w:fldCharType="end"/>
      </w:r>
    </w:p>
    <w:p w:rsidR="00D05C3B" w:rsidRDefault="00580B73" w:rsidP="008F77B5">
      <w:pPr>
        <w:pStyle w:val="Normal3"/>
      </w:pPr>
      <w:r>
        <w:lastRenderedPageBreak/>
        <w:fldChar w:fldCharType="begin"/>
      </w:r>
      <w:r w:rsidR="00914735">
        <w:instrText xml:space="preserve"> RD </w:instrText>
      </w:r>
      <w:r w:rsidR="00274B53">
        <w:instrText>“</w:instrText>
      </w:r>
      <w:r w:rsidR="00174940" w:rsidRPr="00174940">
        <w:instrText>Sec1&amp;2_Introduction.docx</w:instrText>
      </w:r>
      <w:r w:rsidR="00274B53">
        <w:instrText>”</w:instrText>
      </w:r>
      <w:r w:rsidR="00737127">
        <w:instrText xml:space="preserve"> </w:instrText>
      </w:r>
      <w:r>
        <w:fldChar w:fldCharType="end"/>
      </w:r>
    </w:p>
    <w:p w:rsidR="00D05C3B" w:rsidRDefault="00580B73">
      <w:pPr>
        <w:pStyle w:val="Normal3"/>
      </w:pPr>
      <w:r>
        <w:fldChar w:fldCharType="begin"/>
      </w:r>
      <w:r w:rsidR="00D05C3B">
        <w:instrText xml:space="preserve"> RD </w:instrText>
      </w:r>
      <w:r w:rsidR="00274B53">
        <w:instrText>“</w:instrText>
      </w:r>
      <w:r w:rsidR="00737127" w:rsidRPr="00737127">
        <w:instrText>Sec3_DEER_Res_Lighting_Profiles_Methodology.docx</w:instrText>
      </w:r>
      <w:r w:rsidR="00274B53">
        <w:instrText>”</w:instrText>
      </w:r>
      <w:r w:rsidR="00737127">
        <w:instrText xml:space="preserve"> </w:instrText>
      </w:r>
      <w:r>
        <w:fldChar w:fldCharType="end"/>
      </w:r>
    </w:p>
    <w:p w:rsidR="00D05C3B" w:rsidRDefault="00580B73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851D46" w:rsidRPr="00851D46">
        <w:instrText>Sec4_DEER_UES_NonResLtgrev.docx</w:instrText>
      </w:r>
      <w:r w:rsidR="00274B53">
        <w:instrText>”</w:instrText>
      </w:r>
      <w:r w:rsidR="00D05C3B">
        <w:instrText xml:space="preserve"> </w:instrText>
      </w:r>
      <w:r>
        <w:fldChar w:fldCharType="end"/>
      </w:r>
    </w:p>
    <w:p w:rsidR="00D05C3B" w:rsidRDefault="00580B73" w:rsidP="00825EAC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174940" w:rsidRPr="00174940">
        <w:instrText>Sec5_TG3-WH_Impacts_ShortTermUpdate.docx</w:instrText>
      </w:r>
      <w:r w:rsidR="00274B53">
        <w:instrText>”</w:instrText>
      </w:r>
      <w:r w:rsidR="00D05C3B">
        <w:instrText xml:space="preserve"> </w:instrText>
      </w:r>
      <w:r>
        <w:fldChar w:fldCharType="end"/>
      </w:r>
    </w:p>
    <w:p w:rsidR="0048312B" w:rsidRDefault="00580B73" w:rsidP="0048312B">
      <w:pPr>
        <w:pStyle w:val="pF"/>
        <w:ind w:left="0" w:firstLine="0"/>
      </w:pPr>
      <w:r>
        <w:fldChar w:fldCharType="begin"/>
      </w:r>
      <w:r w:rsidR="0048312B">
        <w:instrText xml:space="preserve"> RD “</w:instrText>
      </w:r>
      <w:r w:rsidR="0048312B" w:rsidRPr="0048312B">
        <w:instrText>Sec6_NTGR_mastertable.docx</w:instrText>
      </w:r>
      <w:r w:rsidR="0048312B">
        <w:instrText xml:space="preserve">” </w:instrText>
      </w:r>
      <w:r>
        <w:fldChar w:fldCharType="end"/>
      </w:r>
    </w:p>
    <w:p w:rsidR="00D3047F" w:rsidRDefault="00580B73" w:rsidP="00D3047F">
      <w:pPr>
        <w:pStyle w:val="Normal3"/>
      </w:pPr>
      <w:r>
        <w:fldChar w:fldCharType="begin"/>
      </w:r>
      <w:r w:rsidR="00D3047F">
        <w:instrText xml:space="preserve"> RD “</w:instrText>
      </w:r>
      <w:r w:rsidR="00574599" w:rsidRPr="00574599">
        <w:instrText>Sec7_TG1_Non_Res_Lighting.docx</w:instrText>
      </w:r>
      <w:r w:rsidR="00D3047F">
        <w:instrText xml:space="preserve">” </w:instrText>
      </w:r>
      <w:r>
        <w:fldChar w:fldCharType="end"/>
      </w:r>
    </w:p>
    <w:p w:rsidR="00D3047F" w:rsidRDefault="00580B73" w:rsidP="00D3047F">
      <w:pPr>
        <w:pStyle w:val="Normal3"/>
      </w:pPr>
      <w:r>
        <w:fldChar w:fldCharType="begin"/>
      </w:r>
      <w:r w:rsidR="00D3047F">
        <w:instrText xml:space="preserve"> RD “</w:instrText>
      </w:r>
      <w:r w:rsidR="00574599" w:rsidRPr="00574599">
        <w:instrText>Sec8_TG7_Res_Lighting.docx</w:instrText>
      </w:r>
      <w:r w:rsidR="00D3047F">
        <w:instrText xml:space="preserve">” </w:instrText>
      </w:r>
      <w:r>
        <w:fldChar w:fldCharType="end"/>
      </w:r>
    </w:p>
    <w:p w:rsidR="00D05C3B" w:rsidRDefault="00580B73">
      <w:pPr>
        <w:pStyle w:val="Normal3"/>
      </w:pPr>
      <w:r>
        <w:fldChar w:fldCharType="begin"/>
      </w:r>
      <w:r w:rsidR="00914735">
        <w:instrText xml:space="preserve"> RD </w:instrText>
      </w:r>
      <w:r w:rsidR="00274B53">
        <w:instrText>“</w:instrText>
      </w:r>
      <w:r w:rsidR="00574599" w:rsidRPr="00574599">
        <w:instrText>Sec9_TG6_Large-Indus+Ag.docx</w:instrText>
      </w:r>
      <w:r w:rsidR="00274B53">
        <w:instrText>”</w:instrText>
      </w:r>
      <w:r w:rsidR="00D05C3B">
        <w:instrText xml:space="preserve"> </w:instrText>
      </w:r>
      <w:r>
        <w:fldChar w:fldCharType="end"/>
      </w:r>
    </w:p>
    <w:p w:rsidR="00825EAC" w:rsidRDefault="00580B73" w:rsidP="00825EAC">
      <w:pPr>
        <w:pStyle w:val="Normal3"/>
      </w:pPr>
      <w:r>
        <w:fldChar w:fldCharType="begin"/>
      </w:r>
      <w:r w:rsidR="00825EAC">
        <w:instrText xml:space="preserve"> RD </w:instrText>
      </w:r>
      <w:r w:rsidR="00274B53">
        <w:instrText>“</w:instrText>
      </w:r>
      <w:r w:rsidR="00574599" w:rsidRPr="00574599">
        <w:instrText>Sec10_TG2_Comm_HVAC+BldgEnv.docx</w:instrText>
      </w:r>
      <w:r w:rsidR="00274B53">
        <w:instrText>”</w:instrText>
      </w:r>
      <w:r w:rsidR="00825EAC">
        <w:instrText xml:space="preserve"> </w:instrText>
      </w:r>
      <w:r>
        <w:fldChar w:fldCharType="end"/>
      </w:r>
    </w:p>
    <w:p w:rsidR="00274B53" w:rsidRDefault="00580B73" w:rsidP="00274B53">
      <w:pPr>
        <w:pStyle w:val="Normal3"/>
      </w:pPr>
      <w:r>
        <w:fldChar w:fldCharType="begin"/>
      </w:r>
      <w:r w:rsidR="00274B53">
        <w:instrText xml:space="preserve"> RD “</w:instrText>
      </w:r>
      <w:r w:rsidR="00574599" w:rsidRPr="00574599">
        <w:instrText>Sec11_TG5_Comm_Refrigeration.docx</w:instrText>
      </w:r>
      <w:r w:rsidR="00274B53">
        <w:instrText xml:space="preserve">” </w:instrText>
      </w:r>
      <w:r>
        <w:fldChar w:fldCharType="end"/>
      </w:r>
    </w:p>
    <w:p w:rsidR="00825EAC" w:rsidRPr="00825EAC" w:rsidRDefault="00580B73" w:rsidP="00944271">
      <w:pPr>
        <w:pStyle w:val="Normal3"/>
      </w:pPr>
      <w:r>
        <w:fldChar w:fldCharType="begin"/>
      </w:r>
      <w:r w:rsidR="00274B53">
        <w:instrText xml:space="preserve"> RD “</w:instrText>
      </w:r>
      <w:r w:rsidR="00574599" w:rsidRPr="00574599">
        <w:instrText>Sec12_TG8_Res_HVAC+BldgEnv.docx</w:instrText>
      </w:r>
      <w:r w:rsidR="00274B53">
        <w:instrText xml:space="preserve">” </w:instrText>
      </w:r>
      <w:r>
        <w:fldChar w:fldCharType="end"/>
      </w:r>
    </w:p>
    <w:p w:rsidR="00B56EC9" w:rsidRDefault="00580B73" w:rsidP="00B56EC9">
      <w:pPr>
        <w:pStyle w:val="Normal3"/>
      </w:pPr>
      <w:r>
        <w:fldChar w:fldCharType="begin"/>
      </w:r>
      <w:r w:rsidR="00274B53">
        <w:instrText xml:space="preserve"> RD “</w:instrText>
      </w:r>
      <w:r w:rsidR="00574599" w:rsidRPr="00574599">
        <w:instrText>Sec13_TG3_Res_WaterHeating.docx</w:instrText>
      </w:r>
      <w:r w:rsidR="00274B53">
        <w:instrText>”</w:instrText>
      </w:r>
      <w:r w:rsidR="00B56EC9">
        <w:instrText xml:space="preserve"> </w:instrText>
      </w:r>
      <w:r>
        <w:fldChar w:fldCharType="end"/>
      </w:r>
    </w:p>
    <w:p w:rsidR="00B56EC9" w:rsidRDefault="00580B73" w:rsidP="00B56EC9">
      <w:pPr>
        <w:pStyle w:val="Normal3"/>
      </w:pPr>
      <w:r>
        <w:fldChar w:fldCharType="begin"/>
      </w:r>
      <w:r w:rsidR="00274B53">
        <w:instrText xml:space="preserve"> RD “</w:instrText>
      </w:r>
      <w:r w:rsidR="00574599" w:rsidRPr="00574599">
        <w:instrText>Sec14_TG9_Res_Appliances.docx</w:instrText>
      </w:r>
      <w:r w:rsidR="00274B53">
        <w:instrText>”</w:instrText>
      </w:r>
      <w:r w:rsidR="00B56EC9">
        <w:instrText xml:space="preserve"> </w:instrText>
      </w:r>
      <w:r>
        <w:fldChar w:fldCharType="end"/>
      </w:r>
    </w:p>
    <w:p w:rsidR="00B56EC9" w:rsidRDefault="00580B73" w:rsidP="00B56EC9">
      <w:pPr>
        <w:pStyle w:val="Normal3"/>
      </w:pPr>
      <w:r>
        <w:fldChar w:fldCharType="begin"/>
      </w:r>
      <w:r w:rsidR="00B56EC9">
        <w:instrText xml:space="preserve"> RD </w:instrText>
      </w:r>
      <w:r w:rsidR="00274B53">
        <w:instrText>“</w:instrText>
      </w:r>
      <w:r w:rsidR="00D3047F" w:rsidRPr="00D3047F">
        <w:instrText>Sec15_Default_NTGRs_FINAL.docx</w:instrText>
      </w:r>
      <w:r w:rsidR="00274B53">
        <w:instrText>”</w:instrText>
      </w:r>
      <w:r w:rsidR="00B56EC9">
        <w:instrText xml:space="preserve"> </w:instrText>
      </w:r>
      <w:r>
        <w:fldChar w:fldCharType="end"/>
      </w:r>
    </w:p>
    <w:sectPr w:rsidR="00B56EC9" w:rsidSect="007D3E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pgNumType w:fmt="lowerRoman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C1" w:rsidRDefault="006432C1" w:rsidP="00765500">
      <w:pPr>
        <w:pStyle w:val="Normal4"/>
      </w:pPr>
      <w:r>
        <w:separator/>
      </w:r>
    </w:p>
  </w:endnote>
  <w:endnote w:type="continuationSeparator" w:id="0">
    <w:p w:rsidR="006432C1" w:rsidRDefault="006432C1" w:rsidP="00765500">
      <w:pPr>
        <w:pStyle w:val="Normal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580B73" w:rsidP="00741905">
    <w:pPr>
      <w:pStyle w:val="Footer"/>
    </w:pPr>
    <w:r>
      <w:rPr>
        <w:rStyle w:val="PageNumber"/>
      </w:rPr>
      <w:fldChar w:fldCharType="begin"/>
    </w:r>
    <w:r w:rsidR="006432C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32C1">
      <w:rPr>
        <w:rStyle w:val="PageNumber"/>
        <w:noProof/>
      </w:rPr>
      <w:t>ii</w:t>
    </w:r>
    <w:r>
      <w:rPr>
        <w:rStyle w:val="PageNumber"/>
      </w:rPr>
      <w:fldChar w:fldCharType="end"/>
    </w:r>
    <w:r w:rsidR="006432C1">
      <w:rPr>
        <w:rStyle w:val="PageNumber"/>
      </w:rPr>
      <w:tab/>
    </w:r>
    <w:r w:rsidR="006432C1">
      <w:t>Table of Contents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7D3EC9" w:rsidRDefault="006432C1" w:rsidP="007D3EC9">
    <w:pPr>
      <w:pStyle w:val="Footer"/>
      <w:pBdr>
        <w:top w:val="single" w:sz="12" w:space="3" w:color="auto"/>
      </w:pBdr>
    </w:pPr>
    <w:r>
      <w:t>Itron, Inc.</w:t>
    </w:r>
    <w:r>
      <w:tab/>
    </w:r>
    <w:r w:rsidR="00580B7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80B73">
      <w:rPr>
        <w:rStyle w:val="PageNumber"/>
      </w:rPr>
      <w:fldChar w:fldCharType="separate"/>
    </w:r>
    <w:r w:rsidR="00183E06">
      <w:rPr>
        <w:rStyle w:val="PageNumber"/>
        <w:noProof/>
      </w:rPr>
      <w:t>ii</w:t>
    </w:r>
    <w:r w:rsidR="00580B73">
      <w:rPr>
        <w:rStyle w:val="PageNumber"/>
      </w:rPr>
      <w:fldChar w:fldCharType="end"/>
    </w:r>
    <w:r>
      <w:rPr>
        <w:rStyle w:val="PageNumber"/>
      </w:rPr>
      <w:tab/>
    </w:r>
    <w:r>
      <w:t>Table of Contents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6432C1">
    <w:pPr>
      <w:pStyle w:val="Footer"/>
      <w:pBdr>
        <w:top w:val="single" w:sz="12" w:space="3" w:color="auto"/>
      </w:pBdr>
    </w:pPr>
    <w:r>
      <w:t>Itron, Inc.</w:t>
    </w:r>
    <w:r>
      <w:tab/>
    </w:r>
    <w:r w:rsidR="00580B7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80B73">
      <w:rPr>
        <w:rStyle w:val="PageNumber"/>
      </w:rPr>
      <w:fldChar w:fldCharType="separate"/>
    </w:r>
    <w:r w:rsidR="00183E06">
      <w:rPr>
        <w:rStyle w:val="PageNumber"/>
        <w:noProof/>
      </w:rPr>
      <w:t>i</w:t>
    </w:r>
    <w:r w:rsidR="00580B73">
      <w:rPr>
        <w:rStyle w:val="PageNumber"/>
      </w:rPr>
      <w:fldChar w:fldCharType="end"/>
    </w:r>
    <w:r>
      <w:rPr>
        <w:rStyle w:val="PageNumber"/>
      </w:rPr>
      <w:tab/>
    </w:r>
    <w:r>
      <w:t>Table of Contents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C1" w:rsidRDefault="006432C1" w:rsidP="00765500">
      <w:pPr>
        <w:pStyle w:val="Normal4"/>
      </w:pPr>
      <w:r>
        <w:separator/>
      </w:r>
    </w:p>
  </w:footnote>
  <w:footnote w:type="continuationSeparator" w:id="0">
    <w:p w:rsidR="006432C1" w:rsidRDefault="006432C1" w:rsidP="00765500">
      <w:pPr>
        <w:pStyle w:val="Normal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41148D" w:rsidRDefault="006432C1" w:rsidP="0041148D">
    <w:pPr>
      <w:pStyle w:val="Header"/>
    </w:pPr>
    <w:r>
      <w:t>CPUC Self-Generation Incentive Program—Ninth-Year Impact Evaluation Report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Pr="00E26D41" w:rsidRDefault="006432C1" w:rsidP="00E26D41">
    <w:pPr>
      <w:pStyle w:val="Header"/>
      <w:tabs>
        <w:tab w:val="center" w:pos="4680"/>
        <w:tab w:val="left" w:pos="5751"/>
      </w:tabs>
    </w:pPr>
    <w:r>
      <w:t>Database for Energy Efficiency Resources: 2011 Update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C1" w:rsidRDefault="006432C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0747692"/>
    <w:lvl w:ilvl="0">
      <w:start w:val="1"/>
      <w:numFmt w:val="bullet"/>
      <w:pStyle w:val="ListBullet2"/>
      <w:lvlText w:val="─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</w:abstractNum>
  <w:abstractNum w:abstractNumId="1">
    <w:nsid w:val="FFFFFFFB"/>
    <w:multiLevelType w:val="multilevel"/>
    <w:tmpl w:val="F5E86536"/>
    <w:lvl w:ilvl="0">
      <w:start w:val="3"/>
      <w:numFmt w:val="decimal"/>
      <w:pStyle w:val="Heading1"/>
      <w:suff w:val="nothing"/>
      <w:lvlText w:val="%1"/>
      <w:lvlJc w:val="left"/>
      <w:pPr>
        <w:ind w:left="0" w:firstLine="0"/>
      </w:pPr>
      <w:rPr>
        <w:rFonts w:ascii="Arial" w:hAnsi="Arial" w:hint="default"/>
        <w:b/>
        <w:i/>
        <w:sz w:val="72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80A0EEF"/>
    <w:multiLevelType w:val="multilevel"/>
    <w:tmpl w:val="C8782C1C"/>
    <w:lvl w:ilvl="0">
      <w:start w:val="1"/>
      <w:numFmt w:val="upperLetter"/>
      <w:suff w:val="nothing"/>
      <w:lvlText w:val="Appendix %1"/>
      <w:lvlJc w:val="left"/>
      <w:pPr>
        <w:ind w:left="0" w:firstLine="0"/>
      </w:pPr>
      <w:rPr>
        <w:rFonts w:ascii="Arial" w:hAnsi="Arial" w:hint="default"/>
        <w:b/>
        <w:i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A5707EA"/>
    <w:multiLevelType w:val="multilevel"/>
    <w:tmpl w:val="67F0C0C4"/>
    <w:styleLink w:val="CnAListBullets"/>
    <w:lvl w:ilvl="0">
      <w:start w:val="1"/>
      <w:numFmt w:val="bullet"/>
      <w:lvlText w:val=""/>
      <w:lvlJc w:val="left"/>
      <w:pPr>
        <w:ind w:left="720" w:hanging="432"/>
      </w:pPr>
      <w:rPr>
        <w:rFonts w:ascii="Wingdings" w:hAnsi="Wingdings" w:hint="default"/>
        <w:sz w:val="16"/>
      </w:rPr>
    </w:lvl>
    <w:lvl w:ilvl="1">
      <w:start w:val="1"/>
      <w:numFmt w:val="bullet"/>
      <w:lvlText w:val="─"/>
      <w:lvlJc w:val="left"/>
      <w:pPr>
        <w:ind w:left="1152" w:hanging="432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1584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2016" w:hanging="432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448" w:hanging="43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43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12" w:hanging="432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744" w:hanging="43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176" w:hanging="432"/>
      </w:pPr>
      <w:rPr>
        <w:rFonts w:ascii="Symbol" w:hAnsi="Symbol" w:hint="default"/>
      </w:rPr>
    </w:lvl>
  </w:abstractNum>
  <w:abstractNum w:abstractNumId="4">
    <w:nsid w:val="6ABC0982"/>
    <w:multiLevelType w:val="multilevel"/>
    <w:tmpl w:val="04090021"/>
    <w:styleLink w:val="Itron"/>
    <w:lvl w:ilvl="0">
      <w:start w:val="1"/>
      <w:numFmt w:val="bullet"/>
      <w:lvlText w:val="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─"/>
      <w:lvlJc w:val="left"/>
      <w:pPr>
        <w:ind w:left="180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8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D076A1"/>
    <w:rsid w:val="00013B0E"/>
    <w:rsid w:val="00013EE0"/>
    <w:rsid w:val="000165F4"/>
    <w:rsid w:val="00025074"/>
    <w:rsid w:val="00025A86"/>
    <w:rsid w:val="00035C9E"/>
    <w:rsid w:val="00041ADF"/>
    <w:rsid w:val="000462CB"/>
    <w:rsid w:val="00060556"/>
    <w:rsid w:val="0008052F"/>
    <w:rsid w:val="000A55A8"/>
    <w:rsid w:val="000B1DA3"/>
    <w:rsid w:val="000C762F"/>
    <w:rsid w:val="000D2EC3"/>
    <w:rsid w:val="000D3932"/>
    <w:rsid w:val="000D53C8"/>
    <w:rsid w:val="000E7B7F"/>
    <w:rsid w:val="00103BB1"/>
    <w:rsid w:val="001066FB"/>
    <w:rsid w:val="00107B06"/>
    <w:rsid w:val="00117343"/>
    <w:rsid w:val="001305E1"/>
    <w:rsid w:val="00146705"/>
    <w:rsid w:val="00153ECF"/>
    <w:rsid w:val="0016159F"/>
    <w:rsid w:val="00170F3F"/>
    <w:rsid w:val="00174940"/>
    <w:rsid w:val="0017530B"/>
    <w:rsid w:val="00183E06"/>
    <w:rsid w:val="00183ED2"/>
    <w:rsid w:val="001C0BC7"/>
    <w:rsid w:val="001C68DE"/>
    <w:rsid w:val="001F03B5"/>
    <w:rsid w:val="00202AF0"/>
    <w:rsid w:val="00267AB5"/>
    <w:rsid w:val="00274B53"/>
    <w:rsid w:val="00294F39"/>
    <w:rsid w:val="0029661B"/>
    <w:rsid w:val="002C512B"/>
    <w:rsid w:val="0030787D"/>
    <w:rsid w:val="003101E6"/>
    <w:rsid w:val="003206F4"/>
    <w:rsid w:val="00320E36"/>
    <w:rsid w:val="00332FA7"/>
    <w:rsid w:val="003363E9"/>
    <w:rsid w:val="00342347"/>
    <w:rsid w:val="00342FE4"/>
    <w:rsid w:val="00357B87"/>
    <w:rsid w:val="0036474E"/>
    <w:rsid w:val="00366F9B"/>
    <w:rsid w:val="00375184"/>
    <w:rsid w:val="003A7517"/>
    <w:rsid w:val="003D281A"/>
    <w:rsid w:val="003E3981"/>
    <w:rsid w:val="0041148D"/>
    <w:rsid w:val="00412A9A"/>
    <w:rsid w:val="004310EB"/>
    <w:rsid w:val="00435F19"/>
    <w:rsid w:val="00441756"/>
    <w:rsid w:val="004529F4"/>
    <w:rsid w:val="004531C9"/>
    <w:rsid w:val="00456580"/>
    <w:rsid w:val="00475549"/>
    <w:rsid w:val="00476AC7"/>
    <w:rsid w:val="00476D65"/>
    <w:rsid w:val="0048312B"/>
    <w:rsid w:val="004950AC"/>
    <w:rsid w:val="004D2172"/>
    <w:rsid w:val="004F0082"/>
    <w:rsid w:val="004F1C87"/>
    <w:rsid w:val="004F7536"/>
    <w:rsid w:val="00500537"/>
    <w:rsid w:val="005033CF"/>
    <w:rsid w:val="005115C3"/>
    <w:rsid w:val="00525944"/>
    <w:rsid w:val="00526891"/>
    <w:rsid w:val="00560DBC"/>
    <w:rsid w:val="00562EC7"/>
    <w:rsid w:val="00573092"/>
    <w:rsid w:val="00574599"/>
    <w:rsid w:val="00580B73"/>
    <w:rsid w:val="005924BF"/>
    <w:rsid w:val="005A270A"/>
    <w:rsid w:val="005B2639"/>
    <w:rsid w:val="005C67BE"/>
    <w:rsid w:val="005D29D6"/>
    <w:rsid w:val="005D599A"/>
    <w:rsid w:val="005D7878"/>
    <w:rsid w:val="005F3930"/>
    <w:rsid w:val="006060B1"/>
    <w:rsid w:val="00622C5E"/>
    <w:rsid w:val="00623D6B"/>
    <w:rsid w:val="0062607B"/>
    <w:rsid w:val="006264E5"/>
    <w:rsid w:val="00632003"/>
    <w:rsid w:val="00636A66"/>
    <w:rsid w:val="00641037"/>
    <w:rsid w:val="006432C1"/>
    <w:rsid w:val="00652DC3"/>
    <w:rsid w:val="00655DB3"/>
    <w:rsid w:val="00670EBD"/>
    <w:rsid w:val="00694F18"/>
    <w:rsid w:val="006A3006"/>
    <w:rsid w:val="006B23E2"/>
    <w:rsid w:val="006C2F9F"/>
    <w:rsid w:val="006E7374"/>
    <w:rsid w:val="00700A6D"/>
    <w:rsid w:val="007024C1"/>
    <w:rsid w:val="0071181B"/>
    <w:rsid w:val="007230BA"/>
    <w:rsid w:val="00734867"/>
    <w:rsid w:val="00737127"/>
    <w:rsid w:val="00741465"/>
    <w:rsid w:val="007416C6"/>
    <w:rsid w:val="00741905"/>
    <w:rsid w:val="0074720F"/>
    <w:rsid w:val="00757154"/>
    <w:rsid w:val="00765500"/>
    <w:rsid w:val="00772B3A"/>
    <w:rsid w:val="00777BFD"/>
    <w:rsid w:val="0078373D"/>
    <w:rsid w:val="007942B1"/>
    <w:rsid w:val="007B0310"/>
    <w:rsid w:val="007B5375"/>
    <w:rsid w:val="007B7D05"/>
    <w:rsid w:val="007C651C"/>
    <w:rsid w:val="007D3EC9"/>
    <w:rsid w:val="00805A20"/>
    <w:rsid w:val="00814ED2"/>
    <w:rsid w:val="00825EAC"/>
    <w:rsid w:val="00851D46"/>
    <w:rsid w:val="008534D7"/>
    <w:rsid w:val="008666FC"/>
    <w:rsid w:val="00866A52"/>
    <w:rsid w:val="00881A67"/>
    <w:rsid w:val="00882E39"/>
    <w:rsid w:val="008874C6"/>
    <w:rsid w:val="008C6D12"/>
    <w:rsid w:val="008F57FD"/>
    <w:rsid w:val="008F5C5E"/>
    <w:rsid w:val="008F77B5"/>
    <w:rsid w:val="00914735"/>
    <w:rsid w:val="00927732"/>
    <w:rsid w:val="00944271"/>
    <w:rsid w:val="009605F0"/>
    <w:rsid w:val="009626ED"/>
    <w:rsid w:val="00970946"/>
    <w:rsid w:val="009725AE"/>
    <w:rsid w:val="0098368A"/>
    <w:rsid w:val="009A4813"/>
    <w:rsid w:val="009A7F9D"/>
    <w:rsid w:val="009B71F8"/>
    <w:rsid w:val="009C6FBE"/>
    <w:rsid w:val="009D2A3A"/>
    <w:rsid w:val="009D5C77"/>
    <w:rsid w:val="00A05B98"/>
    <w:rsid w:val="00A167F9"/>
    <w:rsid w:val="00A168FC"/>
    <w:rsid w:val="00A2563F"/>
    <w:rsid w:val="00A32B9F"/>
    <w:rsid w:val="00A526F3"/>
    <w:rsid w:val="00A6637D"/>
    <w:rsid w:val="00A74868"/>
    <w:rsid w:val="00AA335C"/>
    <w:rsid w:val="00AC02F9"/>
    <w:rsid w:val="00AD4890"/>
    <w:rsid w:val="00AE38E3"/>
    <w:rsid w:val="00AE3ECE"/>
    <w:rsid w:val="00AE7B32"/>
    <w:rsid w:val="00AF0B57"/>
    <w:rsid w:val="00B11A3B"/>
    <w:rsid w:val="00B21D49"/>
    <w:rsid w:val="00B26CA6"/>
    <w:rsid w:val="00B34D70"/>
    <w:rsid w:val="00B522AF"/>
    <w:rsid w:val="00B56EC9"/>
    <w:rsid w:val="00B8243A"/>
    <w:rsid w:val="00B85704"/>
    <w:rsid w:val="00B971A6"/>
    <w:rsid w:val="00BA2B22"/>
    <w:rsid w:val="00BB17C6"/>
    <w:rsid w:val="00BB35E2"/>
    <w:rsid w:val="00BB52EA"/>
    <w:rsid w:val="00BC2733"/>
    <w:rsid w:val="00BD6852"/>
    <w:rsid w:val="00BD7486"/>
    <w:rsid w:val="00C0210F"/>
    <w:rsid w:val="00C207CE"/>
    <w:rsid w:val="00C272B0"/>
    <w:rsid w:val="00C40900"/>
    <w:rsid w:val="00C80A93"/>
    <w:rsid w:val="00C87B2B"/>
    <w:rsid w:val="00CA5947"/>
    <w:rsid w:val="00CA7F9D"/>
    <w:rsid w:val="00CB0B1E"/>
    <w:rsid w:val="00CB28CF"/>
    <w:rsid w:val="00CC137B"/>
    <w:rsid w:val="00CC1F72"/>
    <w:rsid w:val="00CC67DD"/>
    <w:rsid w:val="00CD744D"/>
    <w:rsid w:val="00CE3421"/>
    <w:rsid w:val="00D05C3B"/>
    <w:rsid w:val="00D076A1"/>
    <w:rsid w:val="00D25372"/>
    <w:rsid w:val="00D3047F"/>
    <w:rsid w:val="00D47895"/>
    <w:rsid w:val="00D53849"/>
    <w:rsid w:val="00D658E0"/>
    <w:rsid w:val="00D72FE7"/>
    <w:rsid w:val="00D90061"/>
    <w:rsid w:val="00D906D6"/>
    <w:rsid w:val="00D916D3"/>
    <w:rsid w:val="00D968EB"/>
    <w:rsid w:val="00DD28BC"/>
    <w:rsid w:val="00E26D41"/>
    <w:rsid w:val="00E4416C"/>
    <w:rsid w:val="00E525B4"/>
    <w:rsid w:val="00E663FA"/>
    <w:rsid w:val="00E67C72"/>
    <w:rsid w:val="00E765DF"/>
    <w:rsid w:val="00E833DC"/>
    <w:rsid w:val="00E90F6E"/>
    <w:rsid w:val="00E91ED5"/>
    <w:rsid w:val="00EA4125"/>
    <w:rsid w:val="00EC7629"/>
    <w:rsid w:val="00EF19C2"/>
    <w:rsid w:val="00F03DFC"/>
    <w:rsid w:val="00F11FA5"/>
    <w:rsid w:val="00F33FAA"/>
    <w:rsid w:val="00F51769"/>
    <w:rsid w:val="00F54D65"/>
    <w:rsid w:val="00F675EB"/>
    <w:rsid w:val="00F724DE"/>
    <w:rsid w:val="00F84062"/>
    <w:rsid w:val="00F90D1B"/>
    <w:rsid w:val="00F93409"/>
    <w:rsid w:val="00FC385C"/>
    <w:rsid w:val="00FE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3EC9"/>
    <w:pPr>
      <w:spacing w:after="280" w:line="320" w:lineRule="atLeast"/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D3EC9"/>
    <w:pPr>
      <w:keepNext/>
      <w:numPr>
        <w:numId w:val="1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7D3EC9"/>
    <w:pPr>
      <w:keepNext/>
      <w:numPr>
        <w:ilvl w:val="1"/>
        <w:numId w:val="1"/>
      </w:numPr>
      <w:spacing w:before="480" w:after="18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7D3EC9"/>
    <w:pPr>
      <w:keepNext/>
      <w:numPr>
        <w:ilvl w:val="2"/>
        <w:numId w:val="1"/>
      </w:numPr>
      <w:spacing w:after="180" w:line="240" w:lineRule="auto"/>
      <w:jc w:val="left"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7D3EC9"/>
    <w:pPr>
      <w:keepNext/>
      <w:keepLines/>
      <w:numPr>
        <w:ilvl w:val="3"/>
        <w:numId w:val="1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7D3EC9"/>
    <w:pPr>
      <w:keepNext/>
      <w:keepLines/>
      <w:numPr>
        <w:ilvl w:val="4"/>
        <w:numId w:val="1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7D3EC9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7D3EC9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7D3EC9"/>
    <w:pPr>
      <w:numPr>
        <w:ilvl w:val="7"/>
        <w:numId w:val="1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D3EC9"/>
    <w:pPr>
      <w:numPr>
        <w:ilvl w:val="8"/>
        <w:numId w:val="1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F">
    <w:name w:val="pF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Normal3">
    <w:name w:val="Normal3"/>
    <w:basedOn w:val="Normal"/>
    <w:next w:val="pF"/>
    <w:rsid w:val="004F7536"/>
  </w:style>
  <w:style w:type="paragraph" w:styleId="NormalIndent">
    <w:name w:val="Normal Indent"/>
    <w:basedOn w:val="Normal"/>
    <w:rsid w:val="004F7536"/>
  </w:style>
  <w:style w:type="paragraph" w:customStyle="1" w:styleId="pJ">
    <w:name w:val="pJ"/>
    <w:next w:val="Normal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Normal4">
    <w:name w:val="Normal4"/>
    <w:basedOn w:val="Normal"/>
    <w:next w:val="pJ"/>
    <w:rsid w:val="004F7536"/>
    <w:pPr>
      <w:tabs>
        <w:tab w:val="left" w:pos="6210"/>
      </w:tabs>
    </w:pPr>
  </w:style>
  <w:style w:type="paragraph" w:customStyle="1" w:styleId="pN">
    <w:name w:val="pN"/>
    <w:basedOn w:val="pB"/>
    <w:next w:val="pA2"/>
    <w:rsid w:val="004F7536"/>
  </w:style>
  <w:style w:type="paragraph" w:customStyle="1" w:styleId="pB">
    <w:name w:val="pB"/>
    <w:basedOn w:val="Normal"/>
    <w:rsid w:val="007D3EC9"/>
    <w:pPr>
      <w:tabs>
        <w:tab w:val="left" w:pos="720"/>
        <w:tab w:val="left" w:pos="1080"/>
      </w:tabs>
      <w:ind w:right="288"/>
    </w:pPr>
  </w:style>
  <w:style w:type="paragraph" w:customStyle="1" w:styleId="pA3">
    <w:name w:val="pA3"/>
    <w:basedOn w:val="pA"/>
    <w:next w:val="pB"/>
    <w:rsid w:val="004F7536"/>
  </w:style>
  <w:style w:type="paragraph" w:customStyle="1" w:styleId="pA">
    <w:name w:val="pA"/>
    <w:rsid w:val="007D3EC9"/>
    <w:pPr>
      <w:spacing w:after="130" w:line="130" w:lineRule="exact"/>
      <w:ind w:left="720" w:hanging="432"/>
      <w:jc w:val="both"/>
    </w:pPr>
    <w:rPr>
      <w:rFonts w:ascii="Times New Roman" w:hAnsi="Times New Roman"/>
      <w:sz w:val="24"/>
      <w:szCs w:val="24"/>
    </w:rPr>
  </w:style>
  <w:style w:type="paragraph" w:customStyle="1" w:styleId="pA2">
    <w:name w:val="pA2"/>
    <w:basedOn w:val="pA"/>
    <w:next w:val="pA"/>
    <w:rsid w:val="007D3EC9"/>
  </w:style>
  <w:style w:type="paragraph" w:customStyle="1" w:styleId="pS">
    <w:name w:val="pS"/>
    <w:rsid w:val="007D3EC9"/>
    <w:pPr>
      <w:tabs>
        <w:tab w:val="left" w:pos="720"/>
        <w:tab w:val="left" w:pos="1080"/>
      </w:tabs>
      <w:spacing w:after="130" w:line="320" w:lineRule="atLeast"/>
      <w:ind w:left="720" w:right="288" w:hanging="432"/>
      <w:jc w:val="both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7D3EC9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7D3EC9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link w:val="HeaderChar"/>
    <w:rsid w:val="007D3EC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rsid w:val="007D3EC9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rsid w:val="007D3EC9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rsid w:val="007D3EC9"/>
    <w:pPr>
      <w:tabs>
        <w:tab w:val="left" w:pos="288"/>
      </w:tabs>
      <w:spacing w:after="60" w:line="240" w:lineRule="atLeast"/>
      <w:ind w:left="288" w:hanging="288"/>
    </w:pPr>
    <w:rPr>
      <w:rFonts w:ascii="Tms Rmn" w:hAnsi="Tms Rmn"/>
      <w:sz w:val="20"/>
      <w:szCs w:val="20"/>
    </w:rPr>
  </w:style>
  <w:style w:type="paragraph" w:styleId="Index1">
    <w:name w:val="index 1"/>
    <w:basedOn w:val="Normal"/>
    <w:next w:val="Normal"/>
    <w:rsid w:val="007D3EC9"/>
    <w:rPr>
      <w:rFonts w:ascii="Tms Rmn" w:hAnsi="Tms Rmn"/>
    </w:rPr>
  </w:style>
  <w:style w:type="paragraph" w:styleId="Index2">
    <w:name w:val="index 2"/>
    <w:basedOn w:val="Normal"/>
    <w:next w:val="Normal"/>
    <w:rsid w:val="007D3EC9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7D3EC9"/>
    <w:rPr>
      <w:rFonts w:ascii="Tms Rmn" w:hAnsi="Tms Rmn"/>
    </w:rPr>
  </w:style>
  <w:style w:type="paragraph" w:styleId="Index4">
    <w:name w:val="index 4"/>
    <w:basedOn w:val="Normal"/>
    <w:next w:val="Normal"/>
    <w:rsid w:val="007D3EC9"/>
    <w:rPr>
      <w:rFonts w:ascii="Tms Rmn" w:hAnsi="Tms Rmn"/>
    </w:rPr>
  </w:style>
  <w:style w:type="paragraph" w:styleId="Index5">
    <w:name w:val="index 5"/>
    <w:basedOn w:val="Normal"/>
    <w:next w:val="Normal"/>
    <w:rsid w:val="007D3EC9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7D3EC9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7D3EC9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7D3EC9"/>
    <w:rPr>
      <w:rFonts w:ascii="Tms Rmn" w:hAnsi="Tms Rmn"/>
    </w:rPr>
  </w:style>
  <w:style w:type="character" w:styleId="LineNumber">
    <w:name w:val="line number"/>
    <w:basedOn w:val="DefaultParagraphFont"/>
    <w:rsid w:val="007D3EC9"/>
  </w:style>
  <w:style w:type="paragraph" w:customStyle="1" w:styleId="p1">
    <w:name w:val="p1"/>
    <w:basedOn w:val="pF"/>
    <w:rsid w:val="004F7536"/>
    <w:p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ind w:left="1440" w:right="144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p2">
    <w:name w:val="p2"/>
    <w:basedOn w:val="pF"/>
    <w:rsid w:val="004F7536"/>
    <w:rPr>
      <w:rFonts w:ascii="Arial" w:hAnsi="Arial" w:cs="Arial"/>
      <w:b/>
      <w:bCs/>
      <w:sz w:val="28"/>
      <w:szCs w:val="28"/>
    </w:rPr>
  </w:style>
  <w:style w:type="paragraph" w:customStyle="1" w:styleId="p3">
    <w:name w:val="p3"/>
    <w:basedOn w:val="p2"/>
    <w:rsid w:val="004F7536"/>
    <w:rPr>
      <w:i/>
      <w:iCs/>
      <w:sz w:val="24"/>
      <w:szCs w:val="24"/>
    </w:rPr>
  </w:style>
  <w:style w:type="paragraph" w:customStyle="1" w:styleId="pG">
    <w:name w:val="pG"/>
    <w:basedOn w:val="Normal"/>
    <w:rsid w:val="007D3EC9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7D3EC9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7D3EC9"/>
    <w:pPr>
      <w:spacing w:line="240" w:lineRule="atLeast"/>
    </w:pPr>
  </w:style>
  <w:style w:type="paragraph" w:customStyle="1" w:styleId="TitlePage">
    <w:name w:val="Title Page"/>
    <w:basedOn w:val="Normal"/>
    <w:rsid w:val="007D3EC9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7D3EC9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7D3EC9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7D3EC9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7D3EC9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7D3EC9"/>
  </w:style>
  <w:style w:type="character" w:customStyle="1" w:styleId="HeadingA">
    <w:name w:val="Heading A"/>
    <w:basedOn w:val="DefaultParagraphFont"/>
    <w:rsid w:val="00622C5E"/>
    <w:rPr>
      <w:rFonts w:ascii="Arial" w:hAnsi="Arial"/>
      <w:b/>
      <w:bCs/>
      <w:sz w:val="24"/>
      <w:szCs w:val="24"/>
    </w:rPr>
  </w:style>
  <w:style w:type="paragraph" w:customStyle="1" w:styleId="Large">
    <w:name w:val="Large"/>
    <w:basedOn w:val="pF"/>
    <w:next w:val="pF"/>
    <w:rsid w:val="007D3EC9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customStyle="1" w:styleId="Normal2">
    <w:name w:val="Normal2"/>
    <w:basedOn w:val="Normal"/>
    <w:next w:val="Normal"/>
    <w:rsid w:val="004F7536"/>
  </w:style>
  <w:style w:type="paragraph" w:styleId="ListBullet">
    <w:name w:val="List Bullet"/>
    <w:basedOn w:val="Normal"/>
    <w:rsid w:val="007D3EC9"/>
    <w:pPr>
      <w:ind w:left="360"/>
    </w:pPr>
  </w:style>
  <w:style w:type="paragraph" w:styleId="Caption">
    <w:name w:val="caption"/>
    <w:basedOn w:val="Normal"/>
    <w:next w:val="Normal"/>
    <w:autoRedefine/>
    <w:qFormat/>
    <w:rsid w:val="007D3EC9"/>
    <w:pPr>
      <w:keepNext/>
      <w:keepLines/>
      <w:spacing w:before="120" w:after="120"/>
      <w:jc w:val="left"/>
    </w:pPr>
    <w:rPr>
      <w:rFonts w:ascii="Arial" w:hAnsi="Arial" w:cs="Arial"/>
      <w:b/>
      <w:bCs/>
    </w:rPr>
  </w:style>
  <w:style w:type="paragraph" w:customStyle="1" w:styleId="resumeparagraph">
    <w:name w:val="resume paragraph"/>
    <w:rsid w:val="007D3EC9"/>
    <w:pPr>
      <w:spacing w:before="100" w:after="130" w:line="240" w:lineRule="exact"/>
      <w:ind w:left="720" w:hanging="288"/>
      <w:jc w:val="both"/>
    </w:pPr>
    <w:rPr>
      <w:rFonts w:ascii="Times New Roman" w:hAnsi="Times New Roman"/>
      <w:sz w:val="24"/>
      <w:szCs w:val="24"/>
    </w:rPr>
  </w:style>
  <w:style w:type="paragraph" w:styleId="TOC6">
    <w:name w:val="toc 6"/>
    <w:basedOn w:val="Normal"/>
    <w:next w:val="Normal"/>
    <w:rsid w:val="007D3EC9"/>
    <w:pPr>
      <w:tabs>
        <w:tab w:val="right" w:leader="dot" w:pos="9000"/>
      </w:tabs>
      <w:spacing w:line="240" w:lineRule="auto"/>
      <w:ind w:left="1200"/>
    </w:pPr>
  </w:style>
  <w:style w:type="paragraph" w:styleId="TOC7">
    <w:name w:val="toc 7"/>
    <w:basedOn w:val="Normal"/>
    <w:next w:val="Normal"/>
    <w:rsid w:val="004F7536"/>
    <w:pPr>
      <w:tabs>
        <w:tab w:val="right" w:leader="dot" w:pos="9000"/>
      </w:tabs>
      <w:spacing w:line="240" w:lineRule="auto"/>
      <w:ind w:left="1440"/>
    </w:pPr>
  </w:style>
  <w:style w:type="paragraph" w:styleId="TOC8">
    <w:name w:val="toc 8"/>
    <w:basedOn w:val="Normal"/>
    <w:next w:val="Normal"/>
    <w:rsid w:val="004F7536"/>
    <w:pPr>
      <w:tabs>
        <w:tab w:val="right" w:leader="dot" w:pos="9000"/>
      </w:tabs>
      <w:spacing w:line="240" w:lineRule="auto"/>
      <w:ind w:left="1680"/>
    </w:pPr>
  </w:style>
  <w:style w:type="paragraph" w:styleId="TOC9">
    <w:name w:val="toc 9"/>
    <w:basedOn w:val="Normal"/>
    <w:next w:val="Normal"/>
    <w:rsid w:val="00562EC7"/>
    <w:pPr>
      <w:tabs>
        <w:tab w:val="right" w:leader="dot" w:pos="9000"/>
      </w:tabs>
      <w:spacing w:line="240" w:lineRule="auto"/>
      <w:ind w:left="1920"/>
    </w:pPr>
  </w:style>
  <w:style w:type="character" w:styleId="PageNumber">
    <w:name w:val="page number"/>
    <w:basedOn w:val="DefaultParagraphFont"/>
    <w:rsid w:val="007D3EC9"/>
  </w:style>
  <w:style w:type="paragraph" w:styleId="TableofFigures">
    <w:name w:val="table of figures"/>
    <w:basedOn w:val="Normal"/>
    <w:next w:val="Normal"/>
    <w:uiPriority w:val="99"/>
    <w:rsid w:val="007D3EC9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customStyle="1" w:styleId="toc">
    <w:name w:val="toc"/>
    <w:basedOn w:val="pF"/>
    <w:rsid w:val="00622C5E"/>
    <w:pPr>
      <w:pBdr>
        <w:bottom w:val="single" w:sz="12" w:space="26" w:color="auto"/>
      </w:pBdr>
      <w:spacing w:before="240" w:after="520"/>
    </w:pPr>
    <w:rPr>
      <w:rFonts w:ascii="Arial" w:hAnsi="Arial" w:cs="Arial"/>
      <w:b/>
      <w:bCs/>
      <w:sz w:val="36"/>
      <w:szCs w:val="36"/>
    </w:rPr>
  </w:style>
  <w:style w:type="paragraph" w:styleId="EnvelopeAddress">
    <w:name w:val="envelope address"/>
    <w:basedOn w:val="Normal"/>
    <w:rsid w:val="007D3EC9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Headline">
    <w:name w:val="Headline"/>
    <w:basedOn w:val="Normal"/>
    <w:rsid w:val="007D3EC9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For"/>
    <w:rsid w:val="007D3EC9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7D3EC9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For">
    <w:name w:val="For"/>
    <w:basedOn w:val="Normal"/>
    <w:next w:val="Contact"/>
    <w:rsid w:val="007D3EC9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Contact">
    <w:name w:val="Contact"/>
    <w:basedOn w:val="Normal"/>
    <w:next w:val="summary"/>
    <w:rsid w:val="007D3EC9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pmi">
    <w:name w:val="pmi"/>
    <w:basedOn w:val="Normal"/>
    <w:rsid w:val="00562EC7"/>
    <w:pPr>
      <w:tabs>
        <w:tab w:val="center" w:pos="4950"/>
        <w:tab w:val="center" w:pos="5850"/>
        <w:tab w:val="left" w:pos="6480"/>
      </w:tabs>
      <w:ind w:left="2880" w:hanging="2880"/>
    </w:pPr>
  </w:style>
  <w:style w:type="paragraph" w:customStyle="1" w:styleId="pmi2">
    <w:name w:val="pmi2"/>
    <w:basedOn w:val="pmi"/>
    <w:rsid w:val="00562EC7"/>
    <w:pPr>
      <w:tabs>
        <w:tab w:val="clear" w:pos="6480"/>
        <w:tab w:val="left" w:pos="3150"/>
        <w:tab w:val="center" w:pos="5490"/>
        <w:tab w:val="center" w:pos="6750"/>
      </w:tabs>
    </w:pPr>
  </w:style>
  <w:style w:type="paragraph" w:customStyle="1" w:styleId="question">
    <w:name w:val="question"/>
    <w:basedOn w:val="pF"/>
    <w:rsid w:val="007D3EC9"/>
    <w:pPr>
      <w:ind w:hanging="720"/>
    </w:pPr>
  </w:style>
  <w:style w:type="paragraph" w:customStyle="1" w:styleId="Variabledefinition">
    <w:name w:val="Variable definition"/>
    <w:basedOn w:val="pD"/>
    <w:rsid w:val="007D3EC9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7D3EC9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customStyle="1" w:styleId="WfxFaxNum">
    <w:name w:val="WfxFaxNum"/>
    <w:basedOn w:val="Normal"/>
    <w:rsid w:val="004F7536"/>
  </w:style>
  <w:style w:type="paragraph" w:customStyle="1" w:styleId="WfxTime">
    <w:name w:val="WfxTime"/>
    <w:basedOn w:val="Normal"/>
    <w:rsid w:val="004F7536"/>
  </w:style>
  <w:style w:type="paragraph" w:customStyle="1" w:styleId="WfxDate">
    <w:name w:val="WfxDate"/>
    <w:basedOn w:val="Normal"/>
    <w:rsid w:val="004F7536"/>
  </w:style>
  <w:style w:type="paragraph" w:customStyle="1" w:styleId="WfxRecipient">
    <w:name w:val="WfxRecipient"/>
    <w:basedOn w:val="Normal"/>
    <w:rsid w:val="004F7536"/>
  </w:style>
  <w:style w:type="paragraph" w:customStyle="1" w:styleId="WfxCompany">
    <w:name w:val="WfxCompany"/>
    <w:basedOn w:val="Normal"/>
    <w:rsid w:val="004F7536"/>
  </w:style>
  <w:style w:type="paragraph" w:customStyle="1" w:styleId="WfxSubject">
    <w:name w:val="WfxSubject"/>
    <w:basedOn w:val="Normal"/>
    <w:rsid w:val="004F7536"/>
  </w:style>
  <w:style w:type="paragraph" w:customStyle="1" w:styleId="WfxKeyword">
    <w:name w:val="WfxKeyword"/>
    <w:basedOn w:val="Normal"/>
    <w:rsid w:val="004F7536"/>
  </w:style>
  <w:style w:type="paragraph" w:customStyle="1" w:styleId="WfxBillCode">
    <w:name w:val="WfxBillCode"/>
    <w:basedOn w:val="Normal"/>
    <w:rsid w:val="004F7536"/>
  </w:style>
  <w:style w:type="paragraph" w:customStyle="1" w:styleId="pQ">
    <w:name w:val="pQ"/>
    <w:basedOn w:val="pS"/>
    <w:rsid w:val="004F7536"/>
    <w:pPr>
      <w:tabs>
        <w:tab w:val="clear" w:pos="720"/>
        <w:tab w:val="clear" w:pos="1080"/>
        <w:tab w:val="right" w:pos="8640"/>
      </w:tabs>
      <w:ind w:left="576" w:hanging="288"/>
    </w:pPr>
  </w:style>
  <w:style w:type="paragraph" w:styleId="BalloonText">
    <w:name w:val="Balloon Text"/>
    <w:basedOn w:val="Normal"/>
    <w:link w:val="BalloonTextChar"/>
    <w:rsid w:val="007D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2E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D3EC9"/>
    <w:rPr>
      <w:sz w:val="16"/>
    </w:rPr>
  </w:style>
  <w:style w:type="paragraph" w:styleId="CommentText">
    <w:name w:val="annotation text"/>
    <w:basedOn w:val="Normal"/>
    <w:link w:val="CommentTextChar"/>
    <w:rsid w:val="007D3E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2EC7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D3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2EC7"/>
    <w:rPr>
      <w:b/>
      <w:bCs/>
    </w:rPr>
  </w:style>
  <w:style w:type="paragraph" w:styleId="DocumentMap">
    <w:name w:val="Document Map"/>
    <w:basedOn w:val="Normal"/>
    <w:link w:val="DocumentMapChar"/>
    <w:rsid w:val="007D3EC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62EC7"/>
    <w:rPr>
      <w:rFonts w:ascii="Tahoma" w:hAnsi="Tahoma" w:cs="Tahoma"/>
      <w:sz w:val="24"/>
      <w:szCs w:val="24"/>
      <w:shd w:val="clear" w:color="auto" w:fill="000080"/>
    </w:rPr>
  </w:style>
  <w:style w:type="table" w:styleId="TableGrid">
    <w:name w:val="Table Grid"/>
    <w:basedOn w:val="TableNormal"/>
    <w:rsid w:val="007D3EC9"/>
    <w:pPr>
      <w:spacing w:after="130" w:line="320" w:lineRule="atLeast"/>
      <w:ind w:left="720" w:hanging="432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7D3EC9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EC9"/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7D3EC9"/>
    <w:rPr>
      <w:color w:val="0000FF"/>
      <w:u w:val="single"/>
    </w:rPr>
  </w:style>
  <w:style w:type="character" w:customStyle="1" w:styleId="Normal2Char">
    <w:name w:val="Normal2 Char"/>
    <w:basedOn w:val="DefaultParagraphFont"/>
    <w:rsid w:val="004F7536"/>
    <w:rPr>
      <w:sz w:val="24"/>
      <w:szCs w:val="24"/>
      <w:lang w:val="en-US" w:eastAsia="en-US" w:bidi="ar-SA"/>
    </w:rPr>
  </w:style>
  <w:style w:type="paragraph" w:customStyle="1" w:styleId="CEUSIndent5">
    <w:name w:val="CEUS_Indent5"/>
    <w:basedOn w:val="pE"/>
    <w:rsid w:val="007D3EC9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7D3EC9"/>
    <w:pPr>
      <w:numPr>
        <w:numId w:val="3"/>
      </w:numPr>
      <w:contextualSpacing/>
    </w:pPr>
  </w:style>
  <w:style w:type="numbering" w:customStyle="1" w:styleId="Itron">
    <w:name w:val="Itron"/>
    <w:uiPriority w:val="99"/>
    <w:rsid w:val="007D3EC9"/>
    <w:pPr>
      <w:numPr>
        <w:numId w:val="4"/>
      </w:numPr>
    </w:pPr>
  </w:style>
  <w:style w:type="numbering" w:customStyle="1" w:styleId="CnAListBullets">
    <w:name w:val="CnAListBullets"/>
    <w:uiPriority w:val="99"/>
    <w:rsid w:val="007D3EC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D3EC9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7D3EC9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7D3EC9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7D3EC9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7D3EC9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7D3EC9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7D3EC9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7D3EC9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rsid w:val="007D3EC9"/>
  </w:style>
  <w:style w:type="character" w:customStyle="1" w:styleId="tablefootnoteChar">
    <w:name w:val="table footnote Char"/>
    <w:basedOn w:val="DefaultParagraphFont"/>
    <w:link w:val="tablefootnote"/>
    <w:rsid w:val="007D3EC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7D3EC9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7D3EC9"/>
    <w:rPr>
      <w:sz w:val="32"/>
    </w:rPr>
  </w:style>
  <w:style w:type="paragraph" w:customStyle="1" w:styleId="TitleAdd">
    <w:name w:val="TitleAdd"/>
    <w:basedOn w:val="Title"/>
    <w:link w:val="TitleAddChar"/>
    <w:autoRedefine/>
    <w:qFormat/>
    <w:rsid w:val="007D3EC9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7D3EC9"/>
    <w:rPr>
      <w:sz w:val="24"/>
      <w:szCs w:val="32"/>
    </w:rPr>
  </w:style>
  <w:style w:type="character" w:customStyle="1" w:styleId="HeaderChar">
    <w:name w:val="Header Char"/>
    <w:basedOn w:val="DefaultParagraphFont"/>
    <w:link w:val="Header"/>
    <w:rsid w:val="004531C9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2285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RER, Inc.</Company>
  <LinksUpToDate>false</LinksUpToDate>
  <CharactersWithSpaces>15398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RER, Inc.</dc:creator>
  <cp:lastModifiedBy>ALEXK</cp:lastModifiedBy>
  <cp:revision>31</cp:revision>
  <cp:lastPrinted>2008-09-01T23:55:00Z</cp:lastPrinted>
  <dcterms:created xsi:type="dcterms:W3CDTF">2011-06-28T21:26:00Z</dcterms:created>
  <dcterms:modified xsi:type="dcterms:W3CDTF">2011-11-08T22:42:00Z</dcterms:modified>
</cp:coreProperties>
</file>